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87" w:rsidRPr="000427BD" w:rsidRDefault="003104A4" w:rsidP="000B750E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-151130</wp:posOffset>
            </wp:positionV>
            <wp:extent cx="856615" cy="1150620"/>
            <wp:effectExtent l="0" t="0" r="0" b="0"/>
            <wp:wrapTight wrapText="bothSides">
              <wp:wrapPolygon edited="0">
                <wp:start x="0" y="0"/>
                <wp:lineTo x="0" y="21099"/>
                <wp:lineTo x="21136" y="21099"/>
                <wp:lineTo x="21136" y="0"/>
                <wp:lineTo x="0" y="0"/>
              </wp:wrapPolygon>
            </wp:wrapTight>
            <wp:docPr id="2" name="Picture 2" descr="Colour logo with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 with strap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0E" w:rsidRPr="000427BD">
        <w:rPr>
          <w:rFonts w:ascii="Arial" w:hAnsi="Arial" w:cs="Arial"/>
          <w:sz w:val="32"/>
          <w:szCs w:val="32"/>
        </w:rPr>
        <w:t>DEVIZES SCHOOL</w:t>
      </w:r>
      <w:r>
        <w:rPr>
          <w:rFonts w:ascii="Arial" w:hAnsi="Arial" w:cs="Arial"/>
          <w:sz w:val="32"/>
          <w:szCs w:val="32"/>
        </w:rPr>
        <w:t xml:space="preserve"> - MATHEMATICS </w:t>
      </w:r>
      <w:r w:rsidR="00F84935">
        <w:rPr>
          <w:rFonts w:ascii="Arial" w:hAnsi="Arial" w:cs="Arial"/>
          <w:sz w:val="32"/>
          <w:szCs w:val="32"/>
        </w:rPr>
        <w:t>FACULTY</w:t>
      </w:r>
    </w:p>
    <w:p w:rsidR="00072987" w:rsidRDefault="00072987" w:rsidP="00072987"/>
    <w:p w:rsidR="003104A4" w:rsidRPr="003104A4" w:rsidRDefault="003104A4" w:rsidP="003104A4">
      <w:pPr>
        <w:shd w:val="clear" w:color="auto" w:fill="FFFFFF"/>
        <w:spacing w:line="320" w:lineRule="atLeast"/>
        <w:rPr>
          <w:rFonts w:ascii="Arial" w:hAnsi="Arial" w:cs="Arial"/>
          <w:b/>
          <w:lang w:val="en" w:eastAsia="en-GB"/>
        </w:rPr>
      </w:pPr>
    </w:p>
    <w:p w:rsidR="00072987" w:rsidRPr="00DB73D1" w:rsidRDefault="00F84935" w:rsidP="000B750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Faculty</w:t>
      </w:r>
      <w:r w:rsidR="00891F80" w:rsidRPr="00DB73D1">
        <w:rPr>
          <w:rFonts w:ascii="Arial" w:hAnsi="Arial" w:cs="Arial"/>
          <w:b/>
        </w:rPr>
        <w:t xml:space="preserve"> T</w:t>
      </w:r>
      <w:r w:rsidR="000427BD" w:rsidRPr="00DB73D1">
        <w:rPr>
          <w:rFonts w:ascii="Arial" w:hAnsi="Arial" w:cs="Arial"/>
          <w:b/>
        </w:rPr>
        <w:t>eam</w:t>
      </w:r>
    </w:p>
    <w:p w:rsidR="000427BD" w:rsidRPr="003104A4" w:rsidRDefault="00072987" w:rsidP="003104A4">
      <w:pPr>
        <w:spacing w:line="276" w:lineRule="auto"/>
        <w:rPr>
          <w:rFonts w:ascii="Arial" w:hAnsi="Arial" w:cs="Arial"/>
          <w:sz w:val="22"/>
          <w:szCs w:val="22"/>
        </w:rPr>
      </w:pPr>
      <w:r w:rsidRPr="000427BD">
        <w:rPr>
          <w:rFonts w:ascii="Arial" w:hAnsi="Arial" w:cs="Arial"/>
          <w:sz w:val="22"/>
          <w:szCs w:val="22"/>
        </w:rPr>
        <w:t>We cu</w:t>
      </w:r>
      <w:r w:rsidR="00E00AAB" w:rsidRPr="000427BD">
        <w:rPr>
          <w:rFonts w:ascii="Arial" w:hAnsi="Arial" w:cs="Arial"/>
          <w:sz w:val="22"/>
          <w:szCs w:val="22"/>
        </w:rPr>
        <w:t>rrently have a team o</w:t>
      </w:r>
      <w:r w:rsidR="002D297A">
        <w:rPr>
          <w:rFonts w:ascii="Arial" w:hAnsi="Arial" w:cs="Arial"/>
          <w:sz w:val="22"/>
          <w:szCs w:val="22"/>
        </w:rPr>
        <w:t xml:space="preserve">f </w:t>
      </w:r>
      <w:r w:rsidR="0067259E">
        <w:rPr>
          <w:rFonts w:ascii="Arial" w:hAnsi="Arial" w:cs="Arial"/>
          <w:sz w:val="22"/>
          <w:szCs w:val="22"/>
        </w:rPr>
        <w:t>8</w:t>
      </w:r>
      <w:r w:rsidR="0065371B" w:rsidRPr="000427BD">
        <w:rPr>
          <w:rFonts w:ascii="Arial" w:hAnsi="Arial" w:cs="Arial"/>
          <w:sz w:val="22"/>
          <w:szCs w:val="22"/>
        </w:rPr>
        <w:t xml:space="preserve"> specialist mathematicians</w:t>
      </w:r>
      <w:r w:rsidR="00E00AAB" w:rsidRPr="000427BD">
        <w:rPr>
          <w:rFonts w:ascii="Arial" w:hAnsi="Arial" w:cs="Arial"/>
          <w:sz w:val="22"/>
          <w:szCs w:val="22"/>
        </w:rPr>
        <w:t>.</w:t>
      </w:r>
      <w:r w:rsidRPr="000427BD">
        <w:rPr>
          <w:rFonts w:ascii="Arial" w:hAnsi="Arial" w:cs="Arial"/>
          <w:sz w:val="22"/>
          <w:szCs w:val="22"/>
        </w:rPr>
        <w:t xml:space="preserve">  Each</w:t>
      </w:r>
      <w:r w:rsidR="00CB6ABE" w:rsidRPr="000427BD">
        <w:rPr>
          <w:rFonts w:ascii="Arial" w:hAnsi="Arial" w:cs="Arial"/>
          <w:sz w:val="22"/>
          <w:szCs w:val="22"/>
        </w:rPr>
        <w:t> </w:t>
      </w:r>
      <w:r w:rsidR="00F84935">
        <w:rPr>
          <w:rFonts w:ascii="Arial" w:hAnsi="Arial" w:cs="Arial"/>
          <w:sz w:val="22"/>
          <w:szCs w:val="22"/>
        </w:rPr>
        <w:t>member of the Faculty</w:t>
      </w:r>
      <w:r w:rsidRPr="000427BD">
        <w:rPr>
          <w:rFonts w:ascii="Arial" w:hAnsi="Arial" w:cs="Arial"/>
          <w:sz w:val="22"/>
          <w:szCs w:val="22"/>
        </w:rPr>
        <w:t xml:space="preserve"> teaches a</w:t>
      </w:r>
      <w:r w:rsidR="0065371B" w:rsidRPr="000427BD">
        <w:rPr>
          <w:rFonts w:ascii="Arial" w:hAnsi="Arial" w:cs="Arial"/>
          <w:sz w:val="22"/>
          <w:szCs w:val="22"/>
        </w:rPr>
        <w:t xml:space="preserve">cross the age and ability range. </w:t>
      </w:r>
      <w:r w:rsidR="006E4382">
        <w:rPr>
          <w:rFonts w:ascii="Arial" w:hAnsi="Arial" w:cs="Arial"/>
          <w:sz w:val="22"/>
          <w:szCs w:val="22"/>
        </w:rPr>
        <w:t xml:space="preserve"> </w:t>
      </w:r>
    </w:p>
    <w:p w:rsidR="00D1201A" w:rsidRDefault="00D1201A" w:rsidP="006E4382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6E4382" w:rsidRDefault="00D1201A" w:rsidP="006E4382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Shadrick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259E">
        <w:rPr>
          <w:rFonts w:ascii="Arial" w:hAnsi="Arial" w:cs="Arial"/>
          <w:sz w:val="22"/>
          <w:szCs w:val="22"/>
        </w:rPr>
        <w:tab/>
      </w:r>
      <w:r w:rsidR="006725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Head of </w:t>
      </w:r>
      <w:r w:rsidR="0067259E">
        <w:rPr>
          <w:rFonts w:ascii="Arial" w:hAnsi="Arial" w:cs="Arial"/>
          <w:sz w:val="22"/>
          <w:szCs w:val="22"/>
        </w:rPr>
        <w:t>Facuty</w:t>
      </w:r>
    </w:p>
    <w:p w:rsidR="000427BD" w:rsidRPr="00596286" w:rsidRDefault="003104A4" w:rsidP="006E4382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Nicola Faill</w:t>
      </w:r>
      <w:r w:rsidR="006E4382">
        <w:rPr>
          <w:rFonts w:ascii="Arial" w:hAnsi="Arial" w:cs="Arial"/>
          <w:sz w:val="22"/>
          <w:szCs w:val="22"/>
        </w:rPr>
        <w:t xml:space="preserve"> (NRF)</w:t>
      </w:r>
      <w:r w:rsidR="00F84935" w:rsidRPr="00596286">
        <w:rPr>
          <w:rFonts w:ascii="Arial" w:hAnsi="Arial" w:cs="Arial"/>
          <w:sz w:val="22"/>
          <w:szCs w:val="22"/>
        </w:rPr>
        <w:tab/>
      </w:r>
      <w:r w:rsidR="00F84935" w:rsidRPr="00596286">
        <w:rPr>
          <w:rFonts w:ascii="Arial" w:hAnsi="Arial" w:cs="Arial"/>
          <w:sz w:val="22"/>
          <w:szCs w:val="22"/>
        </w:rPr>
        <w:tab/>
      </w:r>
      <w:r w:rsidR="0067259E">
        <w:rPr>
          <w:rFonts w:ascii="Arial" w:hAnsi="Arial" w:cs="Arial"/>
          <w:sz w:val="22"/>
          <w:szCs w:val="22"/>
        </w:rPr>
        <w:tab/>
      </w:r>
      <w:r w:rsidR="00C2084C">
        <w:rPr>
          <w:rFonts w:ascii="Arial" w:hAnsi="Arial" w:cs="Arial"/>
          <w:sz w:val="22"/>
          <w:szCs w:val="22"/>
        </w:rPr>
        <w:t>Deputy Head of Faculty</w:t>
      </w:r>
      <w:r w:rsidR="00D90D71">
        <w:rPr>
          <w:rFonts w:ascii="Arial" w:hAnsi="Arial" w:cs="Arial"/>
          <w:sz w:val="22"/>
          <w:szCs w:val="22"/>
        </w:rPr>
        <w:t>.</w:t>
      </w:r>
    </w:p>
    <w:p w:rsidR="000427BD" w:rsidRPr="00D12D3B" w:rsidRDefault="000427BD" w:rsidP="006E4382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12D3B">
        <w:rPr>
          <w:rFonts w:ascii="Arial" w:hAnsi="Arial" w:cs="Arial"/>
          <w:sz w:val="22"/>
          <w:szCs w:val="22"/>
        </w:rPr>
        <w:t>Gary Gaynor (GXG)</w:t>
      </w:r>
      <w:r w:rsidRPr="00D12D3B">
        <w:rPr>
          <w:rFonts w:ascii="Arial" w:hAnsi="Arial" w:cs="Arial"/>
          <w:sz w:val="22"/>
          <w:szCs w:val="22"/>
        </w:rPr>
        <w:tab/>
      </w:r>
      <w:r w:rsidRPr="00D12D3B">
        <w:rPr>
          <w:rFonts w:ascii="Arial" w:hAnsi="Arial" w:cs="Arial"/>
          <w:sz w:val="22"/>
          <w:szCs w:val="22"/>
        </w:rPr>
        <w:tab/>
      </w:r>
      <w:r w:rsidR="0067259E">
        <w:rPr>
          <w:rFonts w:ascii="Arial" w:hAnsi="Arial" w:cs="Arial"/>
          <w:sz w:val="22"/>
          <w:szCs w:val="22"/>
        </w:rPr>
        <w:tab/>
      </w:r>
      <w:r w:rsidR="00D90D71">
        <w:rPr>
          <w:rFonts w:ascii="Arial" w:hAnsi="Arial" w:cs="Arial"/>
          <w:sz w:val="22"/>
          <w:szCs w:val="22"/>
        </w:rPr>
        <w:t>KS5 Coordinator.</w:t>
      </w:r>
    </w:p>
    <w:p w:rsidR="000427BD" w:rsidRDefault="0067259E" w:rsidP="006E4382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 Gross-Wilkinson</w:t>
      </w:r>
      <w:r w:rsidR="000427BD" w:rsidRPr="00D12D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(AGW</w:t>
      </w:r>
      <w:r w:rsidR="000427BD" w:rsidRPr="00D12D3B">
        <w:rPr>
          <w:rFonts w:ascii="Arial" w:hAnsi="Arial" w:cs="Arial"/>
          <w:sz w:val="22"/>
          <w:szCs w:val="22"/>
        </w:rPr>
        <w:t>)</w:t>
      </w:r>
      <w:r w:rsidR="000427BD" w:rsidRPr="00D12D3B">
        <w:rPr>
          <w:rFonts w:ascii="Arial" w:hAnsi="Arial" w:cs="Arial"/>
          <w:sz w:val="22"/>
          <w:szCs w:val="22"/>
        </w:rPr>
        <w:tab/>
      </w:r>
      <w:r w:rsidR="000427BD" w:rsidRPr="00D12D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Full time</w:t>
      </w:r>
    </w:p>
    <w:p w:rsidR="003104A4" w:rsidRDefault="000427BD" w:rsidP="006E4382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12D3B">
        <w:rPr>
          <w:rFonts w:ascii="Arial" w:hAnsi="Arial" w:cs="Arial"/>
          <w:sz w:val="22"/>
          <w:szCs w:val="22"/>
        </w:rPr>
        <w:t>Vi</w:t>
      </w:r>
      <w:r w:rsidR="00C67129">
        <w:rPr>
          <w:rFonts w:ascii="Arial" w:hAnsi="Arial" w:cs="Arial"/>
          <w:sz w:val="22"/>
          <w:szCs w:val="22"/>
        </w:rPr>
        <w:t>x</w:t>
      </w:r>
      <w:r w:rsidRPr="00D12D3B">
        <w:rPr>
          <w:rFonts w:ascii="Arial" w:hAnsi="Arial" w:cs="Arial"/>
          <w:sz w:val="22"/>
          <w:szCs w:val="22"/>
        </w:rPr>
        <w:t xml:space="preserve"> Mackay (VMM)</w:t>
      </w:r>
      <w:r w:rsidRPr="00D12D3B">
        <w:rPr>
          <w:rFonts w:ascii="Arial" w:hAnsi="Arial" w:cs="Arial"/>
          <w:sz w:val="22"/>
          <w:szCs w:val="22"/>
        </w:rPr>
        <w:tab/>
      </w:r>
      <w:r w:rsidRPr="00D12D3B">
        <w:rPr>
          <w:rFonts w:ascii="Arial" w:hAnsi="Arial" w:cs="Arial"/>
          <w:sz w:val="22"/>
          <w:szCs w:val="22"/>
        </w:rPr>
        <w:tab/>
      </w:r>
      <w:r w:rsidR="0067259E">
        <w:rPr>
          <w:rFonts w:ascii="Arial" w:hAnsi="Arial" w:cs="Arial"/>
          <w:sz w:val="22"/>
          <w:szCs w:val="22"/>
        </w:rPr>
        <w:tab/>
      </w:r>
      <w:r w:rsidRPr="00D12D3B">
        <w:rPr>
          <w:rFonts w:ascii="Arial" w:hAnsi="Arial" w:cs="Arial"/>
          <w:sz w:val="22"/>
          <w:szCs w:val="22"/>
        </w:rPr>
        <w:t>Full time (Head of King House)</w:t>
      </w:r>
    </w:p>
    <w:p w:rsidR="00CB6ABE" w:rsidRDefault="00C2084C" w:rsidP="00D90D7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Fiona Johnson</w:t>
      </w:r>
      <w:r w:rsidR="006E4382">
        <w:rPr>
          <w:rFonts w:ascii="Arial" w:hAnsi="Arial" w:cs="Arial"/>
          <w:sz w:val="22"/>
          <w:szCs w:val="22"/>
        </w:rPr>
        <w:t xml:space="preserve"> (FXJ)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25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Full time</w:t>
      </w:r>
    </w:p>
    <w:p w:rsidR="0067259E" w:rsidRDefault="0067259E" w:rsidP="00D90D7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Maundrell (DRM)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E27B9">
        <w:rPr>
          <w:rFonts w:ascii="Arial" w:hAnsi="Arial" w:cs="Arial"/>
          <w:sz w:val="22"/>
          <w:szCs w:val="22"/>
        </w:rPr>
        <w:t>NQT Permanent (Part time 0.4)</w:t>
      </w:r>
    </w:p>
    <w:p w:rsidR="0067259E" w:rsidRDefault="0067259E" w:rsidP="00D90D7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Maxwell Thomas (MLT)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E27B9">
        <w:rPr>
          <w:rFonts w:ascii="Arial" w:hAnsi="Arial" w:cs="Arial"/>
          <w:sz w:val="22"/>
          <w:szCs w:val="22"/>
        </w:rPr>
        <w:t>Temporary (Part time 0.6)</w:t>
      </w:r>
    </w:p>
    <w:p w:rsidR="00CE27B9" w:rsidRDefault="00CE27B9" w:rsidP="00D90D7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Vacant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Permanent (0.85-full time, 5 days)</w:t>
      </w:r>
    </w:p>
    <w:p w:rsidR="00D90D71" w:rsidRPr="00D90D71" w:rsidRDefault="00D90D71" w:rsidP="00D90D7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DB73D1" w:rsidRPr="00DB73D1" w:rsidRDefault="00DB73D1" w:rsidP="000B750E">
      <w:pPr>
        <w:spacing w:line="276" w:lineRule="auto"/>
        <w:rPr>
          <w:rFonts w:ascii="Arial" w:hAnsi="Arial" w:cs="Arial"/>
          <w:b/>
        </w:rPr>
      </w:pPr>
      <w:r w:rsidRPr="00DB73D1">
        <w:rPr>
          <w:rFonts w:ascii="Arial" w:hAnsi="Arial" w:cs="Arial"/>
          <w:b/>
        </w:rPr>
        <w:t>Curriculum</w:t>
      </w:r>
    </w:p>
    <w:p w:rsidR="00D51BEF" w:rsidRPr="00DB73D1" w:rsidRDefault="00072987" w:rsidP="000B750E">
      <w:pPr>
        <w:spacing w:line="276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 xml:space="preserve">Pupils are set for Mathematics throughout the school.  </w:t>
      </w:r>
    </w:p>
    <w:p w:rsidR="00891F80" w:rsidRPr="00DB73D1" w:rsidRDefault="00072987" w:rsidP="000B750E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lastRenderedPageBreak/>
        <w:t>Year 7 are set using Ke</w:t>
      </w:r>
      <w:r w:rsidR="0065371B" w:rsidRPr="00DB73D1">
        <w:rPr>
          <w:rFonts w:ascii="Arial" w:hAnsi="Arial" w:cs="Arial"/>
          <w:sz w:val="22"/>
          <w:szCs w:val="22"/>
        </w:rPr>
        <w:t>y Stage 2 results, and all years are taught in half-year cohorts</w:t>
      </w:r>
      <w:r w:rsidR="00891F80" w:rsidRPr="00DB73D1">
        <w:rPr>
          <w:rFonts w:ascii="Arial" w:hAnsi="Arial" w:cs="Arial"/>
          <w:sz w:val="22"/>
          <w:szCs w:val="22"/>
        </w:rPr>
        <w:t>.</w:t>
      </w:r>
    </w:p>
    <w:p w:rsidR="00891F80" w:rsidRPr="00DB73D1" w:rsidRDefault="00891F80" w:rsidP="000B750E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>At Key Stage 3</w:t>
      </w:r>
      <w:r w:rsidR="00DB73D1" w:rsidRPr="00DB73D1">
        <w:rPr>
          <w:rFonts w:ascii="Arial" w:hAnsi="Arial" w:cs="Arial"/>
          <w:sz w:val="22"/>
          <w:szCs w:val="22"/>
        </w:rPr>
        <w:t xml:space="preserve"> </w:t>
      </w:r>
      <w:r w:rsidR="000427BD" w:rsidRPr="00DB73D1">
        <w:rPr>
          <w:rFonts w:ascii="Arial" w:hAnsi="Arial" w:cs="Arial"/>
          <w:sz w:val="22"/>
          <w:szCs w:val="22"/>
        </w:rPr>
        <w:t>(Y</w:t>
      </w:r>
      <w:r w:rsidR="00F84935">
        <w:rPr>
          <w:rFonts w:ascii="Arial" w:hAnsi="Arial" w:cs="Arial"/>
          <w:sz w:val="22"/>
          <w:szCs w:val="22"/>
        </w:rPr>
        <w:t>7,8 and 9</w:t>
      </w:r>
      <w:r w:rsidR="00DB73D1" w:rsidRPr="00DB73D1">
        <w:rPr>
          <w:rFonts w:ascii="Arial" w:hAnsi="Arial" w:cs="Arial"/>
          <w:sz w:val="22"/>
          <w:szCs w:val="22"/>
        </w:rPr>
        <w:t>), students</w:t>
      </w:r>
      <w:r w:rsidRPr="00DB73D1">
        <w:rPr>
          <w:rFonts w:ascii="Arial" w:hAnsi="Arial" w:cs="Arial"/>
          <w:sz w:val="22"/>
          <w:szCs w:val="22"/>
        </w:rPr>
        <w:t xml:space="preserve"> follow the Natio</w:t>
      </w:r>
      <w:r w:rsidR="0065371B" w:rsidRPr="00DB73D1">
        <w:rPr>
          <w:rFonts w:ascii="Arial" w:hAnsi="Arial" w:cs="Arial"/>
          <w:sz w:val="22"/>
          <w:szCs w:val="22"/>
        </w:rPr>
        <w:t>n</w:t>
      </w:r>
      <w:r w:rsidRPr="00DB73D1">
        <w:rPr>
          <w:rFonts w:ascii="Arial" w:hAnsi="Arial" w:cs="Arial"/>
          <w:sz w:val="22"/>
          <w:szCs w:val="22"/>
        </w:rPr>
        <w:t>al Curriculum, and are assessed using APP</w:t>
      </w:r>
      <w:r w:rsidR="0065371B" w:rsidRPr="00DB73D1">
        <w:rPr>
          <w:rFonts w:ascii="Arial" w:hAnsi="Arial" w:cs="Arial"/>
          <w:sz w:val="22"/>
          <w:szCs w:val="22"/>
        </w:rPr>
        <w:t xml:space="preserve"> and bi-termly tests</w:t>
      </w:r>
      <w:r w:rsidRPr="00DB73D1">
        <w:rPr>
          <w:rFonts w:ascii="Arial" w:hAnsi="Arial" w:cs="Arial"/>
          <w:sz w:val="22"/>
          <w:szCs w:val="22"/>
        </w:rPr>
        <w:t>.</w:t>
      </w:r>
    </w:p>
    <w:p w:rsidR="00072987" w:rsidRPr="00DB73D1" w:rsidRDefault="00072987" w:rsidP="000B750E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 xml:space="preserve">At Key Stage 4, </w:t>
      </w:r>
      <w:r w:rsidR="00F032EE" w:rsidRPr="00DB73D1">
        <w:rPr>
          <w:rFonts w:ascii="Arial" w:hAnsi="Arial" w:cs="Arial"/>
          <w:sz w:val="22"/>
          <w:szCs w:val="22"/>
        </w:rPr>
        <w:t>stu</w:t>
      </w:r>
      <w:r w:rsidR="0065371B" w:rsidRPr="00DB73D1">
        <w:rPr>
          <w:rFonts w:ascii="Arial" w:hAnsi="Arial" w:cs="Arial"/>
          <w:sz w:val="22"/>
          <w:szCs w:val="22"/>
        </w:rPr>
        <w:t>dents follow the Edexcel Linear</w:t>
      </w:r>
      <w:r w:rsidR="00F032EE" w:rsidRPr="00DB73D1">
        <w:rPr>
          <w:rFonts w:ascii="Arial" w:hAnsi="Arial" w:cs="Arial"/>
          <w:sz w:val="22"/>
          <w:szCs w:val="22"/>
        </w:rPr>
        <w:t xml:space="preserve"> Syllabus</w:t>
      </w:r>
      <w:r w:rsidR="00F84935">
        <w:rPr>
          <w:rFonts w:ascii="Arial" w:hAnsi="Arial" w:cs="Arial"/>
          <w:sz w:val="22"/>
          <w:szCs w:val="22"/>
        </w:rPr>
        <w:t>, starting in Year 10</w:t>
      </w:r>
      <w:r w:rsidR="00891F80" w:rsidRPr="00DB73D1">
        <w:rPr>
          <w:rFonts w:ascii="Arial" w:hAnsi="Arial" w:cs="Arial"/>
          <w:sz w:val="22"/>
          <w:szCs w:val="22"/>
        </w:rPr>
        <w:t xml:space="preserve">. </w:t>
      </w:r>
    </w:p>
    <w:p w:rsidR="00DB73D1" w:rsidRPr="00DB73D1" w:rsidRDefault="00C21850" w:rsidP="000B750E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approximately 30</w:t>
      </w:r>
      <w:r w:rsidR="00DB73D1">
        <w:rPr>
          <w:rFonts w:ascii="Arial" w:hAnsi="Arial" w:cs="Arial"/>
          <w:sz w:val="22"/>
          <w:szCs w:val="22"/>
        </w:rPr>
        <w:t xml:space="preserve"> student</w:t>
      </w:r>
      <w:r w:rsidR="00072987" w:rsidRPr="00DB73D1">
        <w:rPr>
          <w:rFonts w:ascii="Arial" w:hAnsi="Arial" w:cs="Arial"/>
          <w:sz w:val="22"/>
          <w:szCs w:val="22"/>
        </w:rPr>
        <w:t xml:space="preserve">s studying A Level Mathematics.  We offer courses in Mathematics </w:t>
      </w:r>
      <w:r>
        <w:rPr>
          <w:rFonts w:ascii="Arial" w:hAnsi="Arial" w:cs="Arial"/>
          <w:sz w:val="22"/>
          <w:szCs w:val="22"/>
        </w:rPr>
        <w:t>and</w:t>
      </w:r>
      <w:r w:rsidR="00072987" w:rsidRPr="00DB73D1">
        <w:rPr>
          <w:rFonts w:ascii="Arial" w:hAnsi="Arial" w:cs="Arial"/>
          <w:sz w:val="22"/>
          <w:szCs w:val="22"/>
        </w:rPr>
        <w:t xml:space="preserve"> Further Mathematics following the Edexcel syllabus.</w:t>
      </w:r>
      <w:r w:rsidR="00DB73D1" w:rsidRPr="00DB73D1">
        <w:rPr>
          <w:rFonts w:ascii="Arial" w:hAnsi="Arial" w:cs="Arial"/>
          <w:sz w:val="22"/>
          <w:szCs w:val="22"/>
        </w:rPr>
        <w:t xml:space="preserve"> </w:t>
      </w:r>
    </w:p>
    <w:p w:rsidR="00072987" w:rsidRDefault="00DB73D1" w:rsidP="000B750E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 xml:space="preserve">The department actively provides for the development of each student through after-school revision classes and sixth form study sessions.  We </w:t>
      </w:r>
      <w:r>
        <w:rPr>
          <w:rFonts w:ascii="Arial" w:hAnsi="Arial" w:cs="Arial"/>
          <w:sz w:val="22"/>
          <w:szCs w:val="22"/>
        </w:rPr>
        <w:t>also</w:t>
      </w:r>
      <w:r w:rsidRPr="00DB73D1">
        <w:rPr>
          <w:rFonts w:ascii="Arial" w:hAnsi="Arial" w:cs="Arial"/>
          <w:sz w:val="22"/>
          <w:szCs w:val="22"/>
        </w:rPr>
        <w:t xml:space="preserve"> promote Mathematics throughout the school through participation in the UK Senior, Intermediate and Juni</w:t>
      </w:r>
      <w:r w:rsidR="00F84935">
        <w:rPr>
          <w:rFonts w:ascii="Arial" w:hAnsi="Arial" w:cs="Arial"/>
          <w:sz w:val="22"/>
          <w:szCs w:val="22"/>
        </w:rPr>
        <w:t>or Maths Challenge, both individual and team.</w:t>
      </w:r>
    </w:p>
    <w:p w:rsidR="00D90D71" w:rsidRDefault="00D90D71" w:rsidP="00D90D71">
      <w:pPr>
        <w:spacing w:line="276" w:lineRule="auto"/>
        <w:rPr>
          <w:rFonts w:ascii="Arial" w:hAnsi="Arial" w:cs="Arial"/>
          <w:sz w:val="22"/>
          <w:szCs w:val="22"/>
        </w:rPr>
      </w:pPr>
    </w:p>
    <w:p w:rsidR="00D90D71" w:rsidRPr="002D297A" w:rsidRDefault="002517EE" w:rsidP="002D297A">
      <w:r w:rsidRPr="002517EE">
        <w:rPr>
          <w:rFonts w:ascii="Arial" w:hAnsi="Arial" w:cs="Arial"/>
          <w:b/>
        </w:rPr>
        <w:t>Recent Mathematics results</w:t>
      </w:r>
    </w:p>
    <w:p w:rsidR="00483757" w:rsidRDefault="007E75AD" w:rsidP="000B750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0F539557" wp14:editId="1494F22A">
            <wp:simplePos x="0" y="0"/>
            <wp:positionH relativeFrom="margin">
              <wp:align>left</wp:align>
            </wp:positionH>
            <wp:positionV relativeFrom="paragraph">
              <wp:posOffset>1308100</wp:posOffset>
            </wp:positionV>
            <wp:extent cx="6362700" cy="2743200"/>
            <wp:effectExtent l="0" t="0" r="0" b="0"/>
            <wp:wrapTopAndBottom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="002517EE">
        <w:rPr>
          <w:rFonts w:ascii="Arial" w:hAnsi="Arial" w:cs="Arial"/>
          <w:sz w:val="22"/>
          <w:szCs w:val="22"/>
        </w:rPr>
        <w:t xml:space="preserve">GCSE Mathematics results improved steadily </w:t>
      </w:r>
      <w:r w:rsidR="0088690C">
        <w:rPr>
          <w:rFonts w:ascii="Arial" w:hAnsi="Arial" w:cs="Arial"/>
          <w:sz w:val="22"/>
          <w:szCs w:val="22"/>
        </w:rPr>
        <w:t xml:space="preserve">from 2010 to 2013 reflecting the improved leadership and </w:t>
      </w:r>
      <w:r w:rsidR="002D297A">
        <w:rPr>
          <w:rFonts w:ascii="Arial" w:hAnsi="Arial" w:cs="Arial"/>
          <w:sz w:val="22"/>
          <w:szCs w:val="22"/>
        </w:rPr>
        <w:t xml:space="preserve">overall </w:t>
      </w:r>
      <w:r w:rsidR="0088690C">
        <w:rPr>
          <w:rFonts w:ascii="Arial" w:hAnsi="Arial" w:cs="Arial"/>
          <w:sz w:val="22"/>
          <w:szCs w:val="22"/>
        </w:rPr>
        <w:t xml:space="preserve">development </w:t>
      </w:r>
      <w:r w:rsidR="002D297A">
        <w:rPr>
          <w:rFonts w:ascii="Arial" w:hAnsi="Arial" w:cs="Arial"/>
          <w:sz w:val="22"/>
          <w:szCs w:val="22"/>
        </w:rPr>
        <w:t>and improvements in</w:t>
      </w:r>
      <w:r w:rsidR="0088690C">
        <w:rPr>
          <w:rFonts w:ascii="Arial" w:hAnsi="Arial" w:cs="Arial"/>
          <w:sz w:val="22"/>
          <w:szCs w:val="22"/>
        </w:rPr>
        <w:t xml:space="preserve"> the mathematics faculty.</w:t>
      </w:r>
      <w:r w:rsidR="002517EE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20" w:type="dxa"/>
        <w:tblInd w:w="-10" w:type="dxa"/>
        <w:tblLook w:val="04A0" w:firstRow="1" w:lastRow="0" w:firstColumn="1" w:lastColumn="0" w:noHBand="0" w:noVBand="1"/>
      </w:tblPr>
      <w:tblGrid>
        <w:gridCol w:w="1653"/>
        <w:gridCol w:w="661"/>
        <w:gridCol w:w="1157"/>
        <w:gridCol w:w="1157"/>
        <w:gridCol w:w="1157"/>
        <w:gridCol w:w="1157"/>
        <w:gridCol w:w="1157"/>
        <w:gridCol w:w="2121"/>
      </w:tblGrid>
      <w:tr w:rsidR="007E75AD" w:rsidTr="007E75AD">
        <w:trPr>
          <w:trHeight w:val="491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AD" w:rsidRPr="007E75AD" w:rsidRDefault="007E75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E7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Maths GCSE Results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AD" w:rsidRPr="007E75AD" w:rsidRDefault="007E75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AD" w:rsidRPr="007E75AD" w:rsidRDefault="007E75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AD" w:rsidRPr="007E75AD" w:rsidRDefault="007E75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E75AD">
              <w:rPr>
                <w:rFonts w:ascii="Arial" w:hAnsi="Arial" w:cs="Arial"/>
                <w:b/>
                <w:color w:val="FF0000"/>
                <w:sz w:val="20"/>
                <w:szCs w:val="20"/>
              </w:rPr>
              <w:t>2016 (prediction)</w:t>
            </w:r>
          </w:p>
        </w:tc>
      </w:tr>
      <w:tr w:rsidR="007E75AD" w:rsidTr="007E75AD">
        <w:trPr>
          <w:trHeight w:val="198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AD" w:rsidRPr="007E75AD" w:rsidRDefault="007E75A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b/>
                <w:color w:val="000000"/>
                <w:sz w:val="20"/>
                <w:szCs w:val="20"/>
              </w:rPr>
              <w:t>% 3 LoP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color w:val="000000"/>
                <w:sz w:val="20"/>
                <w:szCs w:val="20"/>
              </w:rPr>
              <w:t>60.1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75AD">
              <w:rPr>
                <w:rFonts w:ascii="Arial" w:hAnsi="Arial" w:cs="Arial"/>
                <w:color w:val="FF0000"/>
                <w:sz w:val="20"/>
                <w:szCs w:val="20"/>
              </w:rPr>
              <w:t>66.7</w:t>
            </w:r>
          </w:p>
        </w:tc>
      </w:tr>
      <w:tr w:rsidR="007E75AD" w:rsidTr="007E75AD">
        <w:trPr>
          <w:trHeight w:val="198"/>
        </w:trPr>
        <w:tc>
          <w:tcPr>
            <w:tcW w:w="1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5AD" w:rsidRPr="007E75AD" w:rsidRDefault="007E75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% A*-C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color w:val="000000"/>
                <w:sz w:val="20"/>
                <w:szCs w:val="20"/>
              </w:rPr>
              <w:t>70.4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63.8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E75A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5AD" w:rsidRPr="007E75AD" w:rsidRDefault="007E75A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75AD">
              <w:rPr>
                <w:rFonts w:ascii="Arial" w:hAnsi="Arial" w:cs="Arial"/>
                <w:color w:val="FF0000"/>
                <w:sz w:val="20"/>
                <w:szCs w:val="20"/>
              </w:rPr>
              <w:t>63.1</w:t>
            </w:r>
          </w:p>
        </w:tc>
      </w:tr>
    </w:tbl>
    <w:p w:rsidR="00483757" w:rsidRDefault="00483757" w:rsidP="000B750E">
      <w:pPr>
        <w:spacing w:line="276" w:lineRule="auto"/>
        <w:rPr>
          <w:rFonts w:ascii="Arial" w:hAnsi="Arial" w:cs="Arial"/>
          <w:sz w:val="22"/>
          <w:szCs w:val="22"/>
        </w:rPr>
      </w:pPr>
    </w:p>
    <w:p w:rsidR="00EA4A27" w:rsidRDefault="00EA4A27" w:rsidP="000B750E">
      <w:pPr>
        <w:spacing w:line="276" w:lineRule="auto"/>
        <w:rPr>
          <w:rFonts w:ascii="Arial" w:hAnsi="Arial" w:cs="Arial"/>
          <w:sz w:val="22"/>
          <w:szCs w:val="22"/>
        </w:rPr>
      </w:pPr>
    </w:p>
    <w:p w:rsidR="00EA4A27" w:rsidRDefault="00EA4A27" w:rsidP="000B750E">
      <w:pPr>
        <w:spacing w:line="276" w:lineRule="auto"/>
        <w:rPr>
          <w:rFonts w:ascii="Arial" w:hAnsi="Arial" w:cs="Arial"/>
          <w:sz w:val="22"/>
          <w:szCs w:val="22"/>
        </w:rPr>
      </w:pPr>
    </w:p>
    <w:p w:rsidR="00EA4A27" w:rsidRDefault="00EA4A27" w:rsidP="000B750E">
      <w:pPr>
        <w:spacing w:line="276" w:lineRule="auto"/>
        <w:rPr>
          <w:rFonts w:ascii="Arial" w:hAnsi="Arial" w:cs="Arial"/>
          <w:sz w:val="22"/>
          <w:szCs w:val="22"/>
        </w:rPr>
      </w:pPr>
    </w:p>
    <w:p w:rsidR="00483757" w:rsidRDefault="00D70C10" w:rsidP="000B750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</w:t>
      </w:r>
      <w:r w:rsidR="0088690C">
        <w:rPr>
          <w:rFonts w:ascii="Arial" w:hAnsi="Arial" w:cs="Arial"/>
          <w:sz w:val="22"/>
          <w:szCs w:val="22"/>
        </w:rPr>
        <w:t xml:space="preserve"> Ofsted report </w:t>
      </w:r>
      <w:r>
        <w:rPr>
          <w:rFonts w:ascii="Arial" w:hAnsi="Arial" w:cs="Arial"/>
          <w:sz w:val="22"/>
          <w:szCs w:val="22"/>
        </w:rPr>
        <w:t>of</w:t>
      </w:r>
      <w:r w:rsidR="0088690C">
        <w:rPr>
          <w:rFonts w:ascii="Arial" w:hAnsi="Arial" w:cs="Arial"/>
          <w:sz w:val="22"/>
          <w:szCs w:val="22"/>
        </w:rPr>
        <w:t xml:space="preserve"> </w:t>
      </w:r>
      <w:r w:rsidR="00DB3A53">
        <w:rPr>
          <w:rFonts w:ascii="Arial" w:hAnsi="Arial" w:cs="Arial"/>
          <w:sz w:val="22"/>
          <w:szCs w:val="22"/>
        </w:rPr>
        <w:t>July 2015</w:t>
      </w:r>
      <w:r>
        <w:rPr>
          <w:rFonts w:ascii="Arial" w:hAnsi="Arial" w:cs="Arial"/>
          <w:sz w:val="22"/>
          <w:szCs w:val="22"/>
        </w:rPr>
        <w:t>, the School was judged</w:t>
      </w:r>
      <w:r w:rsidR="0088690C">
        <w:rPr>
          <w:rFonts w:ascii="Arial" w:hAnsi="Arial" w:cs="Arial"/>
          <w:sz w:val="22"/>
          <w:szCs w:val="22"/>
        </w:rPr>
        <w:t xml:space="preserve"> “good” overall and “good” in each category.  </w:t>
      </w:r>
      <w:r w:rsidR="00443713">
        <w:rPr>
          <w:rFonts w:ascii="Arial" w:hAnsi="Arial" w:cs="Arial"/>
          <w:sz w:val="22"/>
          <w:szCs w:val="22"/>
        </w:rPr>
        <w:t>The report acknowledged that teaching in mathematics had improve</w:t>
      </w:r>
      <w:r>
        <w:rPr>
          <w:rFonts w:ascii="Arial" w:hAnsi="Arial" w:cs="Arial"/>
          <w:sz w:val="22"/>
          <w:szCs w:val="22"/>
        </w:rPr>
        <w:t>d</w:t>
      </w:r>
      <w:r w:rsidR="00443713">
        <w:rPr>
          <w:rFonts w:ascii="Arial" w:hAnsi="Arial" w:cs="Arial"/>
          <w:sz w:val="22"/>
          <w:szCs w:val="22"/>
        </w:rPr>
        <w:t>, however improvements still need</w:t>
      </w:r>
      <w:r>
        <w:rPr>
          <w:rFonts w:ascii="Arial" w:hAnsi="Arial" w:cs="Arial"/>
          <w:sz w:val="22"/>
          <w:szCs w:val="22"/>
        </w:rPr>
        <w:t>ed</w:t>
      </w:r>
      <w:r w:rsidR="00443713">
        <w:rPr>
          <w:rFonts w:ascii="Arial" w:hAnsi="Arial" w:cs="Arial"/>
          <w:sz w:val="22"/>
          <w:szCs w:val="22"/>
        </w:rPr>
        <w:t xml:space="preserve"> to be made in identifying and acting on students’ areas of weakness. </w:t>
      </w:r>
      <w:r>
        <w:rPr>
          <w:rFonts w:ascii="Arial" w:hAnsi="Arial" w:cs="Arial"/>
          <w:sz w:val="22"/>
          <w:szCs w:val="22"/>
        </w:rPr>
        <w:t xml:space="preserve"> T</w:t>
      </w:r>
      <w:r w:rsidR="00443713">
        <w:rPr>
          <w:rFonts w:ascii="Arial" w:hAnsi="Arial" w:cs="Arial"/>
          <w:sz w:val="22"/>
          <w:szCs w:val="22"/>
        </w:rPr>
        <w:t xml:space="preserve">he department are working hard </w:t>
      </w:r>
      <w:r>
        <w:rPr>
          <w:rFonts w:ascii="Arial" w:hAnsi="Arial" w:cs="Arial"/>
          <w:sz w:val="22"/>
          <w:szCs w:val="22"/>
        </w:rPr>
        <w:t>in this area</w:t>
      </w:r>
      <w:r w:rsidR="00443713">
        <w:rPr>
          <w:rFonts w:ascii="Arial" w:hAnsi="Arial" w:cs="Arial"/>
          <w:sz w:val="22"/>
          <w:szCs w:val="22"/>
        </w:rPr>
        <w:t xml:space="preserve"> to ensure better progress is made by all pupils. </w:t>
      </w:r>
    </w:p>
    <w:p w:rsidR="00DB3A53" w:rsidRDefault="00DB3A53" w:rsidP="000B750E">
      <w:pPr>
        <w:spacing w:line="276" w:lineRule="auto"/>
        <w:rPr>
          <w:rFonts w:ascii="Arial" w:hAnsi="Arial" w:cs="Arial"/>
          <w:sz w:val="22"/>
          <w:szCs w:val="22"/>
        </w:rPr>
      </w:pPr>
    </w:p>
    <w:p w:rsidR="00963C99" w:rsidRDefault="00D90D71" w:rsidP="000B750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201</w:t>
      </w:r>
      <w:r w:rsidR="00DB3A5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  <w:r w:rsidR="00DB3A53">
        <w:rPr>
          <w:rFonts w:ascii="Arial" w:hAnsi="Arial" w:cs="Arial"/>
          <w:sz w:val="22"/>
          <w:szCs w:val="22"/>
        </w:rPr>
        <w:t>65%</w:t>
      </w:r>
      <w:r w:rsidR="0065371B" w:rsidRPr="00DB73D1">
        <w:rPr>
          <w:rFonts w:ascii="Arial" w:hAnsi="Arial" w:cs="Arial"/>
          <w:sz w:val="22"/>
          <w:szCs w:val="22"/>
        </w:rPr>
        <w:t xml:space="preserve"> of all Year 11 students achieved at least a C grade in Mathematics</w:t>
      </w:r>
      <w:r w:rsidR="00992D4F">
        <w:rPr>
          <w:rFonts w:ascii="Arial" w:hAnsi="Arial" w:cs="Arial"/>
          <w:sz w:val="22"/>
          <w:szCs w:val="22"/>
        </w:rPr>
        <w:t xml:space="preserve"> </w:t>
      </w:r>
      <w:r w:rsidR="00DB3A53">
        <w:rPr>
          <w:rFonts w:ascii="Arial" w:hAnsi="Arial" w:cs="Arial"/>
          <w:sz w:val="22"/>
          <w:szCs w:val="22"/>
        </w:rPr>
        <w:t>which was a significant increase after a dip in 2014.</w:t>
      </w:r>
      <w:r w:rsidR="00443713">
        <w:rPr>
          <w:rFonts w:ascii="Arial" w:hAnsi="Arial" w:cs="Arial"/>
          <w:sz w:val="22"/>
          <w:szCs w:val="22"/>
        </w:rPr>
        <w:t xml:space="preserve"> </w:t>
      </w:r>
      <w:r w:rsidR="00D70C10">
        <w:rPr>
          <w:rFonts w:ascii="Arial" w:hAnsi="Arial" w:cs="Arial"/>
          <w:sz w:val="22"/>
          <w:szCs w:val="22"/>
        </w:rPr>
        <w:t xml:space="preserve"> </w:t>
      </w:r>
      <w:r w:rsidR="00443713">
        <w:rPr>
          <w:rFonts w:ascii="Arial" w:hAnsi="Arial" w:cs="Arial"/>
          <w:sz w:val="22"/>
          <w:szCs w:val="22"/>
        </w:rPr>
        <w:t>However</w:t>
      </w:r>
      <w:r w:rsidR="001018BF">
        <w:rPr>
          <w:rFonts w:ascii="Arial" w:hAnsi="Arial" w:cs="Arial"/>
          <w:sz w:val="22"/>
          <w:szCs w:val="22"/>
        </w:rPr>
        <w:t>,</w:t>
      </w:r>
      <w:r w:rsidR="00443713">
        <w:rPr>
          <w:rFonts w:ascii="Arial" w:hAnsi="Arial" w:cs="Arial"/>
          <w:sz w:val="22"/>
          <w:szCs w:val="22"/>
        </w:rPr>
        <w:t xml:space="preserve"> only 58% of students made at least</w:t>
      </w:r>
      <w:r w:rsidR="00992D4F">
        <w:rPr>
          <w:rFonts w:ascii="Arial" w:hAnsi="Arial" w:cs="Arial"/>
          <w:sz w:val="22"/>
          <w:szCs w:val="22"/>
        </w:rPr>
        <w:t xml:space="preserve"> </w:t>
      </w:r>
      <w:r w:rsidR="00443713">
        <w:rPr>
          <w:rFonts w:ascii="Arial" w:hAnsi="Arial" w:cs="Arial"/>
          <w:sz w:val="22"/>
          <w:szCs w:val="22"/>
        </w:rPr>
        <w:t>3 levels of progress, which</w:t>
      </w:r>
      <w:r w:rsidR="00D70C10">
        <w:rPr>
          <w:rFonts w:ascii="Arial" w:hAnsi="Arial" w:cs="Arial"/>
          <w:sz w:val="22"/>
          <w:szCs w:val="22"/>
        </w:rPr>
        <w:t>,</w:t>
      </w:r>
      <w:r w:rsidR="00443713">
        <w:rPr>
          <w:rFonts w:ascii="Arial" w:hAnsi="Arial" w:cs="Arial"/>
          <w:sz w:val="22"/>
          <w:szCs w:val="22"/>
        </w:rPr>
        <w:t xml:space="preserve"> although an improvement on the previous year’s results, is still below </w:t>
      </w:r>
      <w:r w:rsidR="00E40892">
        <w:rPr>
          <w:rFonts w:ascii="Arial" w:hAnsi="Arial" w:cs="Arial"/>
          <w:sz w:val="22"/>
          <w:szCs w:val="22"/>
        </w:rPr>
        <w:t xml:space="preserve">our expectations. </w:t>
      </w:r>
      <w:r w:rsidR="00D70C10">
        <w:rPr>
          <w:rFonts w:ascii="Arial" w:hAnsi="Arial" w:cs="Arial"/>
          <w:sz w:val="22"/>
          <w:szCs w:val="22"/>
        </w:rPr>
        <w:t xml:space="preserve"> </w:t>
      </w:r>
      <w:r w:rsidR="00E40892">
        <w:rPr>
          <w:rFonts w:ascii="Arial" w:hAnsi="Arial" w:cs="Arial"/>
          <w:sz w:val="22"/>
          <w:szCs w:val="22"/>
        </w:rPr>
        <w:t xml:space="preserve">Predictions for 2016 are promising, and the faculty are working hard to help ensure the students are fully prepared for the summer exams. </w:t>
      </w:r>
    </w:p>
    <w:p w:rsidR="00963C99" w:rsidRDefault="00963C99" w:rsidP="000B750E">
      <w:pPr>
        <w:spacing w:line="276" w:lineRule="auto"/>
        <w:rPr>
          <w:rFonts w:ascii="Arial" w:hAnsi="Arial" w:cs="Arial"/>
          <w:sz w:val="22"/>
          <w:szCs w:val="22"/>
        </w:rPr>
      </w:pPr>
    </w:p>
    <w:p w:rsidR="00992D4F" w:rsidRDefault="00992D4F" w:rsidP="000B750E">
      <w:pPr>
        <w:spacing w:line="276" w:lineRule="auto"/>
        <w:rPr>
          <w:rFonts w:ascii="Arial" w:hAnsi="Arial" w:cs="Arial"/>
          <w:sz w:val="22"/>
          <w:szCs w:val="22"/>
        </w:rPr>
      </w:pPr>
    </w:p>
    <w:p w:rsidR="00C5379D" w:rsidRDefault="0065371B" w:rsidP="000B750E">
      <w:pPr>
        <w:spacing w:line="276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>In</w:t>
      </w:r>
      <w:r w:rsidR="00D51BEF" w:rsidRPr="00DB73D1">
        <w:rPr>
          <w:rFonts w:ascii="Arial" w:hAnsi="Arial" w:cs="Arial"/>
          <w:sz w:val="22"/>
          <w:szCs w:val="22"/>
        </w:rPr>
        <w:t> </w:t>
      </w:r>
      <w:r w:rsidR="00C2084C">
        <w:rPr>
          <w:rFonts w:ascii="Arial" w:hAnsi="Arial" w:cs="Arial"/>
          <w:sz w:val="22"/>
          <w:szCs w:val="22"/>
        </w:rPr>
        <w:t xml:space="preserve">the </w:t>
      </w:r>
      <w:r w:rsidR="00C2084C" w:rsidRPr="00EA4A27">
        <w:rPr>
          <w:rFonts w:ascii="Arial" w:hAnsi="Arial" w:cs="Arial"/>
          <w:b/>
          <w:sz w:val="22"/>
          <w:szCs w:val="22"/>
        </w:rPr>
        <w:t>Sixth Form</w:t>
      </w:r>
      <w:r w:rsidR="00C2084C">
        <w:rPr>
          <w:rFonts w:ascii="Arial" w:hAnsi="Arial" w:cs="Arial"/>
          <w:sz w:val="22"/>
          <w:szCs w:val="22"/>
        </w:rPr>
        <w:t xml:space="preserve">, </w:t>
      </w:r>
      <w:r w:rsidR="00C5379D">
        <w:rPr>
          <w:rFonts w:ascii="Arial" w:hAnsi="Arial" w:cs="Arial"/>
          <w:sz w:val="22"/>
          <w:szCs w:val="22"/>
        </w:rPr>
        <w:t>the A level results in 201</w:t>
      </w:r>
      <w:r w:rsidR="00A26A08">
        <w:rPr>
          <w:rFonts w:ascii="Arial" w:hAnsi="Arial" w:cs="Arial"/>
          <w:sz w:val="22"/>
          <w:szCs w:val="22"/>
        </w:rPr>
        <w:t>5</w:t>
      </w:r>
      <w:r w:rsidR="00C5379D">
        <w:rPr>
          <w:rFonts w:ascii="Arial" w:hAnsi="Arial" w:cs="Arial"/>
          <w:sz w:val="22"/>
          <w:szCs w:val="22"/>
        </w:rPr>
        <w:t xml:space="preserve"> were:</w:t>
      </w:r>
    </w:p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838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C5379D" w:rsidTr="00EA4A27">
        <w:tc>
          <w:tcPr>
            <w:tcW w:w="1838" w:type="dxa"/>
          </w:tcPr>
          <w:p w:rsidR="00C5379D" w:rsidRDefault="00C5379D" w:rsidP="00C537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</w:tcPr>
          <w:p w:rsidR="00C5379D" w:rsidRDefault="00C5379D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A*</w:t>
            </w:r>
          </w:p>
        </w:tc>
        <w:tc>
          <w:tcPr>
            <w:tcW w:w="898" w:type="dxa"/>
          </w:tcPr>
          <w:p w:rsidR="00C5379D" w:rsidRDefault="00C5379D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898" w:type="dxa"/>
          </w:tcPr>
          <w:p w:rsidR="00C5379D" w:rsidRDefault="00C5379D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98" w:type="dxa"/>
          </w:tcPr>
          <w:p w:rsidR="00C5379D" w:rsidRDefault="00C5379D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897" w:type="dxa"/>
          </w:tcPr>
          <w:p w:rsidR="00C5379D" w:rsidRDefault="00C5379D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898" w:type="dxa"/>
          </w:tcPr>
          <w:p w:rsidR="00C5379D" w:rsidRDefault="00C5379D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98" w:type="dxa"/>
          </w:tcPr>
          <w:p w:rsidR="00C5379D" w:rsidRDefault="00C5379D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898" w:type="dxa"/>
          </w:tcPr>
          <w:p w:rsidR="00C5379D" w:rsidRDefault="00C5379D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%A*-B</w:t>
            </w:r>
          </w:p>
        </w:tc>
        <w:tc>
          <w:tcPr>
            <w:tcW w:w="898" w:type="dxa"/>
          </w:tcPr>
          <w:p w:rsidR="00C5379D" w:rsidRDefault="00C5379D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EA4A27">
              <w:rPr>
                <w:rFonts w:ascii="Arial" w:hAnsi="Arial" w:cs="Arial"/>
                <w:sz w:val="22"/>
                <w:szCs w:val="22"/>
              </w:rPr>
              <w:t>A*-E</w:t>
            </w:r>
          </w:p>
        </w:tc>
      </w:tr>
      <w:tr w:rsidR="00C5379D" w:rsidTr="00EA4A27">
        <w:tc>
          <w:tcPr>
            <w:tcW w:w="1838" w:type="dxa"/>
          </w:tcPr>
          <w:p w:rsidR="00C5379D" w:rsidRDefault="00C5379D" w:rsidP="00C537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 Maths</w:t>
            </w:r>
          </w:p>
        </w:tc>
        <w:tc>
          <w:tcPr>
            <w:tcW w:w="897" w:type="dxa"/>
          </w:tcPr>
          <w:p w:rsidR="00C5379D" w:rsidRDefault="00135800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8" w:type="dxa"/>
          </w:tcPr>
          <w:p w:rsidR="00C5379D" w:rsidRDefault="00135800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8" w:type="dxa"/>
          </w:tcPr>
          <w:p w:rsidR="00C5379D" w:rsidRDefault="00135800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8" w:type="dxa"/>
          </w:tcPr>
          <w:p w:rsidR="00C5379D" w:rsidRDefault="00135800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97" w:type="dxa"/>
          </w:tcPr>
          <w:p w:rsidR="00C5379D" w:rsidRDefault="00C5379D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8" w:type="dxa"/>
          </w:tcPr>
          <w:p w:rsidR="00C5379D" w:rsidRDefault="00135800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8" w:type="dxa"/>
          </w:tcPr>
          <w:p w:rsidR="00C5379D" w:rsidRDefault="00C5379D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C5379D" w:rsidRDefault="00A26A08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A4A2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98" w:type="dxa"/>
          </w:tcPr>
          <w:p w:rsidR="00C5379D" w:rsidRDefault="00EA4A27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C5379D" w:rsidTr="00EA4A27">
        <w:tc>
          <w:tcPr>
            <w:tcW w:w="1838" w:type="dxa"/>
          </w:tcPr>
          <w:p w:rsidR="00C5379D" w:rsidRDefault="00C5379D" w:rsidP="00C537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Maths</w:t>
            </w:r>
          </w:p>
        </w:tc>
        <w:tc>
          <w:tcPr>
            <w:tcW w:w="897" w:type="dxa"/>
          </w:tcPr>
          <w:p w:rsidR="00C5379D" w:rsidRDefault="00135800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C5379D" w:rsidRDefault="00135800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C5379D" w:rsidRDefault="00135800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8" w:type="dxa"/>
          </w:tcPr>
          <w:p w:rsidR="00C5379D" w:rsidRDefault="00EA4A27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C5379D" w:rsidRDefault="00EA4A27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C5379D" w:rsidRDefault="00EA4A27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C5379D" w:rsidRDefault="00EA4A27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98" w:type="dxa"/>
          </w:tcPr>
          <w:p w:rsidR="00C5379D" w:rsidRDefault="00EA4A27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898" w:type="dxa"/>
          </w:tcPr>
          <w:p w:rsidR="00C5379D" w:rsidRDefault="00EA4A27" w:rsidP="00C537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C5379D" w:rsidRDefault="00C5379D" w:rsidP="000B750E">
      <w:pPr>
        <w:spacing w:line="276" w:lineRule="auto"/>
        <w:rPr>
          <w:rFonts w:ascii="Arial" w:hAnsi="Arial" w:cs="Arial"/>
          <w:sz w:val="22"/>
          <w:szCs w:val="22"/>
        </w:rPr>
      </w:pPr>
    </w:p>
    <w:p w:rsidR="0065371B" w:rsidRDefault="00EA4A27" w:rsidP="000B750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D70C10">
        <w:rPr>
          <w:rFonts w:ascii="Arial" w:hAnsi="Arial" w:cs="Arial"/>
          <w:sz w:val="22"/>
          <w:szCs w:val="22"/>
        </w:rPr>
        <w:t>re are</w:t>
      </w:r>
      <w:r>
        <w:rPr>
          <w:rFonts w:ascii="Arial" w:hAnsi="Arial" w:cs="Arial"/>
          <w:sz w:val="22"/>
          <w:szCs w:val="22"/>
        </w:rPr>
        <w:t xml:space="preserve"> </w:t>
      </w:r>
      <w:r w:rsidR="00963C9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students </w:t>
      </w:r>
      <w:r w:rsidR="00D70C10">
        <w:rPr>
          <w:rFonts w:ascii="Arial" w:hAnsi="Arial" w:cs="Arial"/>
          <w:sz w:val="22"/>
          <w:szCs w:val="22"/>
        </w:rPr>
        <w:t xml:space="preserve">in Year 13 </w:t>
      </w:r>
      <w:r>
        <w:rPr>
          <w:rFonts w:ascii="Arial" w:hAnsi="Arial" w:cs="Arial"/>
          <w:sz w:val="22"/>
          <w:szCs w:val="22"/>
        </w:rPr>
        <w:t>studying A level Maths (</w:t>
      </w:r>
      <w:r w:rsidR="00963C9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Mechanics and </w:t>
      </w:r>
      <w:r w:rsidR="00963C9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Statistics).  We </w:t>
      </w:r>
      <w:r>
        <w:rPr>
          <w:rFonts w:ascii="Arial" w:hAnsi="Arial" w:cs="Arial"/>
          <w:sz w:val="22"/>
          <w:szCs w:val="22"/>
        </w:rPr>
        <w:lastRenderedPageBreak/>
        <w:t>have</w:t>
      </w:r>
      <w:r w:rsidR="00963C99">
        <w:rPr>
          <w:rFonts w:ascii="Arial" w:hAnsi="Arial" w:cs="Arial"/>
          <w:sz w:val="22"/>
          <w:szCs w:val="22"/>
        </w:rPr>
        <w:t xml:space="preserve"> </w:t>
      </w:r>
      <w:r w:rsidR="00D70C1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students studying Further Maths in this year group.</w:t>
      </w:r>
      <w:r w:rsidR="00963C99">
        <w:rPr>
          <w:rFonts w:ascii="Arial" w:hAnsi="Arial" w:cs="Arial"/>
          <w:sz w:val="22"/>
          <w:szCs w:val="22"/>
        </w:rPr>
        <w:t xml:space="preserve"> </w:t>
      </w:r>
      <w:r w:rsidR="00D70C10">
        <w:rPr>
          <w:rFonts w:ascii="Arial" w:hAnsi="Arial" w:cs="Arial"/>
          <w:sz w:val="22"/>
          <w:szCs w:val="22"/>
        </w:rPr>
        <w:t xml:space="preserve"> </w:t>
      </w:r>
      <w:r w:rsidR="00963C99">
        <w:rPr>
          <w:rFonts w:ascii="Arial" w:hAnsi="Arial" w:cs="Arial"/>
          <w:sz w:val="22"/>
          <w:szCs w:val="22"/>
        </w:rPr>
        <w:t>This is lower than we would expect, and links with the poor GCSE grades of 2014.</w:t>
      </w:r>
    </w:p>
    <w:p w:rsidR="00EA4A27" w:rsidRPr="00DB73D1" w:rsidRDefault="00EA4A27" w:rsidP="000B750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current Year 12 has </w:t>
      </w:r>
      <w:r w:rsidR="00963C99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students studying AS level Maths (</w:t>
      </w:r>
      <w:r w:rsidR="00963C9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Mechanics and 1</w:t>
      </w:r>
      <w:r w:rsidR="00963C99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Statistics)</w:t>
      </w:r>
      <w:r w:rsidR="00762127">
        <w:rPr>
          <w:rFonts w:ascii="Arial" w:hAnsi="Arial" w:cs="Arial"/>
          <w:sz w:val="22"/>
          <w:szCs w:val="22"/>
        </w:rPr>
        <w:t>.  There are</w:t>
      </w:r>
      <w:r w:rsidR="00963C99">
        <w:rPr>
          <w:rFonts w:ascii="Arial" w:hAnsi="Arial" w:cs="Arial"/>
          <w:sz w:val="22"/>
          <w:szCs w:val="22"/>
        </w:rPr>
        <w:t xml:space="preserve"> three</w:t>
      </w:r>
      <w:r>
        <w:rPr>
          <w:rFonts w:ascii="Arial" w:hAnsi="Arial" w:cs="Arial"/>
          <w:sz w:val="22"/>
          <w:szCs w:val="22"/>
        </w:rPr>
        <w:t xml:space="preserve"> students studying Further Mathematics in this year group.</w:t>
      </w:r>
    </w:p>
    <w:p w:rsidR="0065371B" w:rsidRPr="00963C99" w:rsidRDefault="00A26A08" w:rsidP="000B75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>Starting in September 2016</w:t>
      </w:r>
      <w:r w:rsidR="00963C99" w:rsidRPr="00963C99">
        <w:rPr>
          <w:rFonts w:ascii="Arial" w:hAnsi="Arial" w:cs="Arial"/>
          <w:sz w:val="22"/>
        </w:rPr>
        <w:t>, all A level students will study Statistics and Mechanics</w:t>
      </w:r>
      <w:r>
        <w:rPr>
          <w:rFonts w:ascii="Arial" w:hAnsi="Arial" w:cs="Arial"/>
          <w:sz w:val="22"/>
        </w:rPr>
        <w:t>, rather than the two separate A levels</w:t>
      </w:r>
      <w:r w:rsidR="00963C99" w:rsidRPr="00963C99">
        <w:rPr>
          <w:rFonts w:ascii="Arial" w:hAnsi="Arial" w:cs="Arial"/>
          <w:sz w:val="22"/>
        </w:rPr>
        <w:t>.</w:t>
      </w:r>
    </w:p>
    <w:p w:rsidR="00E40892" w:rsidRDefault="00E40892" w:rsidP="002D297A">
      <w:pPr>
        <w:spacing w:line="276" w:lineRule="auto"/>
        <w:rPr>
          <w:rFonts w:ascii="Arial" w:hAnsi="Arial" w:cs="Arial"/>
          <w:b/>
        </w:rPr>
      </w:pPr>
    </w:p>
    <w:p w:rsidR="002D297A" w:rsidRPr="00DB73D1" w:rsidRDefault="002D297A" w:rsidP="002D297A">
      <w:pPr>
        <w:spacing w:line="276" w:lineRule="auto"/>
        <w:rPr>
          <w:rFonts w:ascii="Arial" w:hAnsi="Arial" w:cs="Arial"/>
          <w:b/>
        </w:rPr>
      </w:pPr>
      <w:r w:rsidRPr="00DB73D1">
        <w:rPr>
          <w:rFonts w:ascii="Arial" w:hAnsi="Arial" w:cs="Arial"/>
          <w:b/>
        </w:rPr>
        <w:t>Accommodation</w:t>
      </w:r>
    </w:p>
    <w:p w:rsidR="002D297A" w:rsidRDefault="002D297A" w:rsidP="002D297A">
      <w:pPr>
        <w:spacing w:line="276" w:lineRule="auto"/>
        <w:rPr>
          <w:rFonts w:ascii="Arial" w:hAnsi="Arial" w:cs="Arial"/>
          <w:sz w:val="22"/>
          <w:szCs w:val="22"/>
        </w:rPr>
      </w:pPr>
      <w:r w:rsidRPr="000427BD">
        <w:rPr>
          <w:rFonts w:ascii="Arial" w:hAnsi="Arial" w:cs="Arial"/>
          <w:sz w:val="22"/>
          <w:szCs w:val="22"/>
        </w:rPr>
        <w:t>The Mat</w:t>
      </w:r>
      <w:r>
        <w:rPr>
          <w:rFonts w:ascii="Arial" w:hAnsi="Arial" w:cs="Arial"/>
          <w:sz w:val="22"/>
          <w:szCs w:val="22"/>
        </w:rPr>
        <w:t>hematics faculty</w:t>
      </w:r>
      <w:r w:rsidRPr="000427BD">
        <w:rPr>
          <w:rFonts w:ascii="Arial" w:hAnsi="Arial" w:cs="Arial"/>
          <w:sz w:val="22"/>
          <w:szCs w:val="22"/>
        </w:rPr>
        <w:t xml:space="preserve"> is accommodated in a wing of the school, providing 7</w:t>
      </w:r>
      <w:r>
        <w:rPr>
          <w:rFonts w:ascii="Arial" w:hAnsi="Arial" w:cs="Arial"/>
          <w:sz w:val="22"/>
          <w:szCs w:val="22"/>
        </w:rPr>
        <w:t xml:space="preserve"> large and well equipped</w:t>
      </w:r>
      <w:r w:rsidRPr="000427BD">
        <w:rPr>
          <w:rFonts w:ascii="Arial" w:hAnsi="Arial" w:cs="Arial"/>
          <w:sz w:val="22"/>
          <w:szCs w:val="22"/>
        </w:rPr>
        <w:t xml:space="preserve"> specialist teaching rooms and an office, which provides a separate work area for staff.</w:t>
      </w:r>
      <w:r>
        <w:rPr>
          <w:rFonts w:ascii="Arial" w:hAnsi="Arial" w:cs="Arial"/>
          <w:sz w:val="22"/>
          <w:szCs w:val="22"/>
        </w:rPr>
        <w:t xml:space="preserve">  Every classroom has an interactive whiteboard, providing access to a wide range of resources via our school VLE.</w:t>
      </w:r>
    </w:p>
    <w:p w:rsidR="00EA4A27" w:rsidRDefault="00EA4A27" w:rsidP="002D297A">
      <w:pPr>
        <w:spacing w:line="276" w:lineRule="auto"/>
        <w:rPr>
          <w:rFonts w:ascii="Arial" w:hAnsi="Arial" w:cs="Arial"/>
          <w:sz w:val="22"/>
          <w:szCs w:val="22"/>
        </w:rPr>
      </w:pPr>
    </w:p>
    <w:p w:rsidR="00762127" w:rsidRPr="00762127" w:rsidRDefault="00762127" w:rsidP="002D297A">
      <w:pPr>
        <w:spacing w:line="276" w:lineRule="auto"/>
        <w:rPr>
          <w:rFonts w:ascii="Arial" w:hAnsi="Arial" w:cs="Arial"/>
          <w:b/>
        </w:rPr>
      </w:pPr>
      <w:r w:rsidRPr="00762127">
        <w:rPr>
          <w:rFonts w:ascii="Arial" w:hAnsi="Arial" w:cs="Arial"/>
          <w:b/>
        </w:rPr>
        <w:t>Plans for improvement</w:t>
      </w:r>
    </w:p>
    <w:p w:rsidR="00762127" w:rsidRDefault="00762127" w:rsidP="002D297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Mathematics faculty has strong plans to improve this year.  These include:</w:t>
      </w:r>
    </w:p>
    <w:p w:rsidR="00762127" w:rsidRDefault="00762127" w:rsidP="0076212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Effective, targeted intervention in KS4 (Year 11)</w:t>
      </w:r>
    </w:p>
    <w:p w:rsidR="00762127" w:rsidRDefault="001415E8" w:rsidP="0076212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Improved examination preparation for students</w:t>
      </w:r>
      <w:r w:rsidR="00903810">
        <w:rPr>
          <w:rFonts w:ascii="Arial" w:hAnsi="Arial" w:cs="Arial"/>
          <w:sz w:val="22"/>
          <w:szCs w:val="22"/>
        </w:rPr>
        <w:t xml:space="preserve"> in Years 10 and 11</w:t>
      </w:r>
    </w:p>
    <w:p w:rsidR="00834BCE" w:rsidRDefault="00834BCE" w:rsidP="0076212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Continued development of new KS3 SOW with a focus on “mastery”</w:t>
      </w:r>
    </w:p>
    <w:p w:rsidR="00834BCE" w:rsidRDefault="00A26A08" w:rsidP="0076212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Continued d</w:t>
      </w:r>
      <w:r w:rsidR="00834BCE">
        <w:rPr>
          <w:rFonts w:ascii="Arial" w:hAnsi="Arial" w:cs="Arial"/>
          <w:sz w:val="22"/>
          <w:szCs w:val="22"/>
        </w:rPr>
        <w:t>evelopment of SOW for the new GCSE syllabus to ensure improved consistency in delivery and assessment at KS4</w:t>
      </w:r>
    </w:p>
    <w:p w:rsidR="00903810" w:rsidRPr="00762127" w:rsidRDefault="00903810" w:rsidP="0076212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Continued support and development of Teaching &amp; Learning within the faculty</w:t>
      </w:r>
      <w:bookmarkStart w:id="0" w:name="_GoBack"/>
      <w:bookmarkEnd w:id="0"/>
    </w:p>
    <w:p w:rsidR="00072987" w:rsidRDefault="00072987" w:rsidP="000B750E">
      <w:pPr>
        <w:spacing w:line="276" w:lineRule="auto"/>
      </w:pPr>
    </w:p>
    <w:p w:rsidR="00EA4A27" w:rsidRDefault="00EA4A27" w:rsidP="00C2084C">
      <w:pPr>
        <w:spacing w:line="276" w:lineRule="auto"/>
        <w:rPr>
          <w:rFonts w:ascii="Arial" w:hAnsi="Arial" w:cs="Arial"/>
          <w:sz w:val="22"/>
          <w:szCs w:val="22"/>
        </w:rPr>
      </w:pPr>
    </w:p>
    <w:p w:rsidR="00C2084C" w:rsidRDefault="00E40892" w:rsidP="00C2084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Shadrick</w:t>
      </w:r>
    </w:p>
    <w:p w:rsidR="00D1201A" w:rsidRDefault="00E40892" w:rsidP="00C2084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of Faculty</w:t>
      </w:r>
    </w:p>
    <w:p w:rsidR="00C2084C" w:rsidRPr="008979CC" w:rsidRDefault="00E40892" w:rsidP="00C2084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Mathematics</w:t>
      </w:r>
    </w:p>
    <w:p w:rsidR="009517AD" w:rsidRPr="008979CC" w:rsidRDefault="009517AD" w:rsidP="000B750E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517AD" w:rsidRPr="008979CC" w:rsidSect="003104A4">
      <w:pgSz w:w="11906" w:h="16838" w:code="9"/>
      <w:pgMar w:top="568" w:right="849" w:bottom="284" w:left="85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34" w:rsidRDefault="00D53D34">
      <w:r>
        <w:separator/>
      </w:r>
    </w:p>
  </w:endnote>
  <w:endnote w:type="continuationSeparator" w:id="0">
    <w:p w:rsidR="00D53D34" w:rsidRDefault="00D5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34" w:rsidRDefault="00D53D34">
      <w:r>
        <w:separator/>
      </w:r>
    </w:p>
  </w:footnote>
  <w:footnote w:type="continuationSeparator" w:id="0">
    <w:p w:rsidR="00D53D34" w:rsidRDefault="00D5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07EB"/>
    <w:multiLevelType w:val="hybridMultilevel"/>
    <w:tmpl w:val="076AE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F0070"/>
    <w:multiLevelType w:val="hybridMultilevel"/>
    <w:tmpl w:val="F3A23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D7760"/>
    <w:multiLevelType w:val="multilevel"/>
    <w:tmpl w:val="DA6E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631DC"/>
    <w:multiLevelType w:val="hybridMultilevel"/>
    <w:tmpl w:val="EB98B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87"/>
    <w:rsid w:val="000427BD"/>
    <w:rsid w:val="00072987"/>
    <w:rsid w:val="000B750E"/>
    <w:rsid w:val="001018BF"/>
    <w:rsid w:val="00102286"/>
    <w:rsid w:val="00130514"/>
    <w:rsid w:val="00135800"/>
    <w:rsid w:val="001415E8"/>
    <w:rsid w:val="002115D8"/>
    <w:rsid w:val="002517EE"/>
    <w:rsid w:val="00267DEA"/>
    <w:rsid w:val="00294D48"/>
    <w:rsid w:val="002D297A"/>
    <w:rsid w:val="002E28FA"/>
    <w:rsid w:val="003104A4"/>
    <w:rsid w:val="003448CA"/>
    <w:rsid w:val="003823EA"/>
    <w:rsid w:val="003C3AFA"/>
    <w:rsid w:val="003D396E"/>
    <w:rsid w:val="003E7F42"/>
    <w:rsid w:val="00406125"/>
    <w:rsid w:val="00421EA7"/>
    <w:rsid w:val="00443713"/>
    <w:rsid w:val="00483757"/>
    <w:rsid w:val="004A281B"/>
    <w:rsid w:val="004A714E"/>
    <w:rsid w:val="004B1C93"/>
    <w:rsid w:val="004C528D"/>
    <w:rsid w:val="00596286"/>
    <w:rsid w:val="005A596D"/>
    <w:rsid w:val="005F1761"/>
    <w:rsid w:val="0065371B"/>
    <w:rsid w:val="0067259E"/>
    <w:rsid w:val="006E4382"/>
    <w:rsid w:val="00762127"/>
    <w:rsid w:val="007E75AD"/>
    <w:rsid w:val="00834BCE"/>
    <w:rsid w:val="00843406"/>
    <w:rsid w:val="0088690C"/>
    <w:rsid w:val="00891F80"/>
    <w:rsid w:val="008979CC"/>
    <w:rsid w:val="008C467B"/>
    <w:rsid w:val="00903810"/>
    <w:rsid w:val="009517AD"/>
    <w:rsid w:val="00963C99"/>
    <w:rsid w:val="00992D4F"/>
    <w:rsid w:val="009A3EFF"/>
    <w:rsid w:val="009F0A70"/>
    <w:rsid w:val="00A04CEA"/>
    <w:rsid w:val="00A216EF"/>
    <w:rsid w:val="00A26A08"/>
    <w:rsid w:val="00A6174B"/>
    <w:rsid w:val="00A81777"/>
    <w:rsid w:val="00AC5360"/>
    <w:rsid w:val="00AF03ED"/>
    <w:rsid w:val="00C2084C"/>
    <w:rsid w:val="00C21850"/>
    <w:rsid w:val="00C4543A"/>
    <w:rsid w:val="00C5379D"/>
    <w:rsid w:val="00C67129"/>
    <w:rsid w:val="00CB6ABE"/>
    <w:rsid w:val="00CE27B9"/>
    <w:rsid w:val="00D06430"/>
    <w:rsid w:val="00D1201A"/>
    <w:rsid w:val="00D51BEF"/>
    <w:rsid w:val="00D53D34"/>
    <w:rsid w:val="00D70C10"/>
    <w:rsid w:val="00D90D71"/>
    <w:rsid w:val="00DB3A53"/>
    <w:rsid w:val="00DB68A3"/>
    <w:rsid w:val="00DB73D1"/>
    <w:rsid w:val="00E00AAB"/>
    <w:rsid w:val="00E40892"/>
    <w:rsid w:val="00E4174E"/>
    <w:rsid w:val="00EA4A27"/>
    <w:rsid w:val="00F032EE"/>
    <w:rsid w:val="00F84935"/>
    <w:rsid w:val="00FD5707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BAC73A-AFF8-444E-85CD-F61BC591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98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7298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07298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2987"/>
    <w:pPr>
      <w:jc w:val="center"/>
    </w:pPr>
    <w:rPr>
      <w:b/>
      <w:bCs/>
      <w:sz w:val="28"/>
      <w:u w:val="single"/>
    </w:rPr>
  </w:style>
  <w:style w:type="paragraph" w:styleId="Footer">
    <w:name w:val="footer"/>
    <w:basedOn w:val="Normal"/>
    <w:rsid w:val="0007298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6174B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rsid w:val="000427BD"/>
    <w:pPr>
      <w:overflowPunct w:val="0"/>
      <w:autoSpaceDE w:val="0"/>
      <w:autoSpaceDN w:val="0"/>
      <w:adjustRightInd w:val="0"/>
      <w:textAlignment w:val="baseline"/>
    </w:pPr>
    <w:rPr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AF0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03E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88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Recent Mathematics results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% 3 LoP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Sheet1!$B$2:$H$2</c:f>
              <c:strCach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 (prediction)</c:v>
                </c:pt>
              </c:strCache>
            </c:strRef>
          </c:cat>
          <c:val>
            <c:numRef>
              <c:f>Sheet1!$B$3:$H$3</c:f>
              <c:numCache>
                <c:formatCode>0.0</c:formatCode>
                <c:ptCount val="7"/>
                <c:pt idx="0">
                  <c:v>51</c:v>
                </c:pt>
                <c:pt idx="1">
                  <c:v>60.1</c:v>
                </c:pt>
                <c:pt idx="2">
                  <c:v>62.1</c:v>
                </c:pt>
                <c:pt idx="3">
                  <c:v>67</c:v>
                </c:pt>
                <c:pt idx="4">
                  <c:v>46</c:v>
                </c:pt>
                <c:pt idx="5">
                  <c:v>58</c:v>
                </c:pt>
                <c:pt idx="6">
                  <c:v>66.7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% A*-C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Sheet1!$B$2:$H$2</c:f>
              <c:strCach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 (prediction)</c:v>
                </c:pt>
              </c:strCache>
            </c:strRef>
          </c:cat>
          <c:val>
            <c:numRef>
              <c:f>Sheet1!$B$4:$H$4</c:f>
              <c:numCache>
                <c:formatCode>0.0</c:formatCode>
                <c:ptCount val="7"/>
                <c:pt idx="0">
                  <c:v>49</c:v>
                </c:pt>
                <c:pt idx="1">
                  <c:v>59.8</c:v>
                </c:pt>
                <c:pt idx="2">
                  <c:v>70.400000000000006</c:v>
                </c:pt>
                <c:pt idx="3">
                  <c:v>63.8</c:v>
                </c:pt>
                <c:pt idx="4">
                  <c:v>52</c:v>
                </c:pt>
                <c:pt idx="5">
                  <c:v>64.900000000000006</c:v>
                </c:pt>
                <c:pt idx="6">
                  <c:v>63.1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2056464"/>
        <c:axId val="182058424"/>
      </c:lineChart>
      <c:catAx>
        <c:axId val="18205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058424"/>
        <c:crosses val="autoZero"/>
        <c:auto val="1"/>
        <c:lblAlgn val="ctr"/>
        <c:lblOffset val="100"/>
        <c:noMultiLvlLbl val="0"/>
      </c:catAx>
      <c:valAx>
        <c:axId val="182058424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05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B4D2-502E-449B-A617-E3007A18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AT DEVIZES SCHOOL</vt:lpstr>
    </vt:vector>
  </TitlesOfParts>
  <Company>RM plc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AT DEVIZES SCHOOL</dc:title>
  <dc:creator>GMW</dc:creator>
  <cp:lastModifiedBy>G. Wheeler</cp:lastModifiedBy>
  <cp:revision>3</cp:revision>
  <cp:lastPrinted>2015-12-15T09:24:00Z</cp:lastPrinted>
  <dcterms:created xsi:type="dcterms:W3CDTF">2015-12-15T09:26:00Z</dcterms:created>
  <dcterms:modified xsi:type="dcterms:W3CDTF">2015-12-15T09:33:00Z</dcterms:modified>
</cp:coreProperties>
</file>