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w:t>
            </w:r>
            <w:r w:rsidDel="00000000" w:rsidR="00000000" w:rsidRPr="00000000">
              <w:rPr>
                <w:rFonts w:ascii="Arial" w:cs="Arial" w:eastAsia="Arial" w:hAnsi="Arial"/>
                <w:sz w:val="22"/>
                <w:szCs w:val="22"/>
                <w:rtl w:val="0"/>
              </w:rPr>
              <w:t xml:space="preserve">£23,893-£24,294 (FTE), (£18,719-£19,033 actual)</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fixed-term contract initially until 31/08/2025. This post is 32.5 hours per week, 39 weeks per year (term time only plus INSET days, holidays to be taken in non-term time).</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5"/>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5"/>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5"/>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5"/>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5"/>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5"/>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5"/>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5"/>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5"/>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FmYn73u0TeWCftqXEe0eWYZSQ==">CgMxLjAyDmgucjlzdzA4Ym5iZHM2Mg5oLnJ0bXhhYnZyeDM3NzIIaC5namRneHMyDmguOGt2N3dlZmVnbW9qMg5oLmE5MHgyYXlwdGNpYTIOaC5jeWh1bDV3ZnV2d3gyDmguM2t5MjR0cHZ3cDRwMg5oLm01dmo1OXRvMHIycTIOaC55Nzg5MGsyZG9rd2kyDWguMW9uaGZ5dGt0em4yDmgueXZ3OHdycWZrd3YxMg5oLjFsdmw2c3VqNGxuYzgAciExNnV1NzhZb1Y4VXVqR0JET0ZvWk10cm9MalpEa2kzZ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