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9F865" w14:textId="0D5ADFC1" w:rsidR="00CF7E5C" w:rsidRDefault="006E09F3">
      <w:pPr>
        <w:rPr>
          <w:b/>
          <w:bCs/>
        </w:rPr>
      </w:pPr>
      <w:bookmarkStart w:id="0" w:name="_GoBack"/>
      <w:bookmarkEnd w:id="0"/>
      <w:r w:rsidRPr="006E09F3">
        <w:rPr>
          <w:b/>
          <w:bCs/>
        </w:rPr>
        <w:t>Application Form – Appendixes</w:t>
      </w:r>
    </w:p>
    <w:p w14:paraId="7246A595" w14:textId="3A340C95" w:rsidR="006E09F3" w:rsidRPr="006E09F3" w:rsidRDefault="006E09F3">
      <w:r w:rsidRPr="006E09F3">
        <w:t>This information should be read alongside the Application Form.</w:t>
      </w:r>
    </w:p>
    <w:tbl>
      <w:tblPr>
        <w:tblStyle w:val="TableGrid"/>
        <w:tblW w:w="0" w:type="auto"/>
        <w:tblLook w:val="04A0" w:firstRow="1" w:lastRow="0" w:firstColumn="1" w:lastColumn="0" w:noHBand="0" w:noVBand="1"/>
      </w:tblPr>
      <w:tblGrid>
        <w:gridCol w:w="9016"/>
      </w:tblGrid>
      <w:tr w:rsidR="006E09F3" w14:paraId="627136B6" w14:textId="77777777" w:rsidTr="006E09F3">
        <w:tc>
          <w:tcPr>
            <w:tcW w:w="9016" w:type="dxa"/>
            <w:shd w:val="clear" w:color="auto" w:fill="2F5496" w:themeFill="accent1" w:themeFillShade="BF"/>
          </w:tcPr>
          <w:p w14:paraId="003DEB1C" w14:textId="5C65F504" w:rsidR="006E09F3" w:rsidRDefault="006E09F3">
            <w:r w:rsidRPr="003E403A">
              <w:rPr>
                <w:rStyle w:val="Bold"/>
                <w:color w:val="FFFFFF" w:themeColor="background1"/>
              </w:rPr>
              <w:t>Details of Online Profile</w:t>
            </w:r>
          </w:p>
        </w:tc>
      </w:tr>
      <w:tr w:rsidR="006E09F3" w14:paraId="17231FEF" w14:textId="77777777" w:rsidTr="006E09F3">
        <w:tc>
          <w:tcPr>
            <w:tcW w:w="9016" w:type="dxa"/>
          </w:tcPr>
          <w:p w14:paraId="1A166034" w14:textId="77777777" w:rsidR="006E09F3" w:rsidRPr="006977B7" w:rsidRDefault="006E09F3" w:rsidP="006E09F3">
            <w:pPr>
              <w:pStyle w:val="Tabletext"/>
              <w:rPr>
                <w:rStyle w:val="Bold"/>
                <w:b w:val="0"/>
                <w:bCs/>
              </w:rPr>
            </w:pPr>
            <w:r w:rsidRPr="006977B7">
              <w:rPr>
                <w:rStyle w:val="Bold"/>
                <w:b w:val="0"/>
                <w:bCs/>
                <w:i/>
                <w:iCs/>
              </w:rPr>
              <w:t xml:space="preserve">Keeping Children Safe in Education </w:t>
            </w:r>
            <w:r w:rsidRPr="006977B7">
              <w:rPr>
                <w:rStyle w:val="Bold"/>
                <w:b w:val="0"/>
                <w:bCs/>
              </w:rPr>
              <w:t>(</w:t>
            </w:r>
            <w:r w:rsidRPr="006977B7">
              <w:rPr>
                <w:rStyle w:val="Bold"/>
              </w:rPr>
              <w:t>KCSIE</w:t>
            </w:r>
            <w:r w:rsidRPr="006977B7">
              <w:rPr>
                <w:rStyle w:val="Bold"/>
                <w:b w:val="0"/>
                <w:bCs/>
              </w:rPr>
              <w:t xml:space="preserve">) asks schools to carry out online searches on shortlisted candidates as part of the process of assessing suitability.  </w:t>
            </w:r>
          </w:p>
          <w:p w14:paraId="67756C73" w14:textId="77777777" w:rsidR="006E09F3" w:rsidRPr="006977B7" w:rsidRDefault="006E09F3" w:rsidP="006E09F3">
            <w:pPr>
              <w:pStyle w:val="Tabletext"/>
              <w:rPr>
                <w:rStyle w:val="Bold"/>
                <w:b w:val="0"/>
                <w:bCs/>
              </w:rPr>
            </w:pPr>
            <w:r w:rsidRPr="006977B7">
              <w:rPr>
                <w:bCs/>
              </w:rPr>
              <w:t>You (and all other candidates) are therefore required to provide the following information as part of your application:</w:t>
            </w:r>
          </w:p>
          <w:p w14:paraId="1ECE7582" w14:textId="77777777" w:rsidR="006E09F3" w:rsidRPr="006977B7" w:rsidRDefault="006E09F3" w:rsidP="006E09F3">
            <w:pPr>
              <w:pStyle w:val="Tabletext"/>
              <w:numPr>
                <w:ilvl w:val="0"/>
                <w:numId w:val="1"/>
              </w:numPr>
              <w:rPr>
                <w:bCs/>
              </w:rPr>
            </w:pPr>
            <w:r w:rsidRPr="006977B7">
              <w:rPr>
                <w:bCs/>
              </w:rPr>
              <w:t>the social media platforms on which you have accounts;</w:t>
            </w:r>
            <w:r w:rsidRPr="006977B7" w:rsidDel="00E67204">
              <w:rPr>
                <w:bCs/>
              </w:rPr>
              <w:t xml:space="preserve"> </w:t>
            </w:r>
          </w:p>
          <w:p w14:paraId="717ECE1F" w14:textId="77777777" w:rsidR="006E09F3" w:rsidRPr="006977B7" w:rsidRDefault="006E09F3" w:rsidP="006E09F3">
            <w:pPr>
              <w:pStyle w:val="Tabletext"/>
              <w:numPr>
                <w:ilvl w:val="0"/>
                <w:numId w:val="1"/>
              </w:numPr>
              <w:rPr>
                <w:bCs/>
              </w:rPr>
            </w:pPr>
            <w:r w:rsidRPr="006977B7">
              <w:rPr>
                <w:bCs/>
              </w:rPr>
              <w:t>the account names/handles for all of your social media accounts, including any under a nickname or pseudonym;</w:t>
            </w:r>
          </w:p>
          <w:p w14:paraId="28B6698F" w14:textId="77777777" w:rsidR="006E09F3" w:rsidRPr="006977B7" w:rsidRDefault="006E09F3" w:rsidP="006E09F3">
            <w:pPr>
              <w:pStyle w:val="Tabletext"/>
              <w:numPr>
                <w:ilvl w:val="0"/>
                <w:numId w:val="1"/>
              </w:numPr>
              <w:rPr>
                <w:bCs/>
              </w:rPr>
            </w:pPr>
            <w:r w:rsidRPr="006977B7">
              <w:rPr>
                <w:bCs/>
              </w:rPr>
              <w:t xml:space="preserve">any websites you are involved with, in or featured on or named on; and </w:t>
            </w:r>
          </w:p>
          <w:p w14:paraId="78FC54CF" w14:textId="77777777" w:rsidR="006E09F3" w:rsidRPr="006977B7" w:rsidRDefault="006E09F3" w:rsidP="006E09F3">
            <w:pPr>
              <w:pStyle w:val="Tabletext"/>
              <w:numPr>
                <w:ilvl w:val="0"/>
                <w:numId w:val="1"/>
              </w:numPr>
              <w:rPr>
                <w:bCs/>
              </w:rPr>
            </w:pPr>
            <w:proofErr w:type="gramStart"/>
            <w:r w:rsidRPr="006977B7">
              <w:rPr>
                <w:bCs/>
              </w:rPr>
              <w:t>any</w:t>
            </w:r>
            <w:proofErr w:type="gramEnd"/>
            <w:r w:rsidRPr="006977B7">
              <w:rPr>
                <w:bCs/>
              </w:rPr>
              <w:t xml:space="preserve"> other publicly available online information about you of which the School should be made aware. </w:t>
            </w:r>
          </w:p>
          <w:p w14:paraId="034E7C71" w14:textId="77777777" w:rsidR="006E09F3" w:rsidRPr="006977B7" w:rsidRDefault="006E09F3" w:rsidP="006E09F3">
            <w:pPr>
              <w:pStyle w:val="Tabletext"/>
              <w:rPr>
                <w:bCs/>
              </w:rPr>
            </w:pPr>
            <w:r w:rsidRPr="006977B7">
              <w:rPr>
                <w:bCs/>
              </w:rPr>
              <w:t xml:space="preserve">If you are shortlisted for the role, we may carry out an online search based on the information you provide in this form.  If we carry out a search, we will also search more widely for any other online information about you.  </w:t>
            </w:r>
          </w:p>
          <w:p w14:paraId="7508BC9C" w14:textId="77777777" w:rsidR="006E09F3" w:rsidRPr="006977B7" w:rsidRDefault="006E09F3" w:rsidP="006E09F3">
            <w:pPr>
              <w:pStyle w:val="Tabletext"/>
              <w:rPr>
                <w:bCs/>
              </w:rPr>
            </w:pPr>
            <w:r w:rsidRPr="006977B7">
              <w:t xml:space="preserve">You are </w:t>
            </w:r>
            <w:r w:rsidRPr="006977B7">
              <w:rPr>
                <w:b/>
                <w:bCs/>
              </w:rPr>
              <w:t>not</w:t>
            </w:r>
            <w:r w:rsidRPr="006977B7">
              <w:t xml:space="preserve"> required to provide account passwords or to grant the School access to private social media accounts.</w:t>
            </w:r>
          </w:p>
          <w:p w14:paraId="2C4CBE09" w14:textId="6B38AA67" w:rsidR="006E09F3" w:rsidRDefault="006E09F3" w:rsidP="006E09F3">
            <w:r w:rsidRPr="006977B7">
              <w:rPr>
                <w:bCs/>
              </w:rPr>
              <w:t xml:space="preserve">If you are not shortlisted for the role, online searches will not be carried out on you.  </w:t>
            </w:r>
          </w:p>
        </w:tc>
      </w:tr>
      <w:tr w:rsidR="006E09F3" w14:paraId="76FDB2A2" w14:textId="77777777" w:rsidTr="006E09F3">
        <w:tc>
          <w:tcPr>
            <w:tcW w:w="9016" w:type="dxa"/>
            <w:shd w:val="clear" w:color="auto" w:fill="2F5496" w:themeFill="accent1" w:themeFillShade="BF"/>
          </w:tcPr>
          <w:p w14:paraId="7EA40FC3" w14:textId="2CDBBABE" w:rsidR="006E09F3" w:rsidRPr="006977B7" w:rsidRDefault="006E09F3" w:rsidP="006E09F3">
            <w:pPr>
              <w:pStyle w:val="Tabletext"/>
              <w:rPr>
                <w:rStyle w:val="Bold"/>
                <w:b w:val="0"/>
                <w:bCs/>
                <w:i/>
                <w:iCs/>
              </w:rPr>
            </w:pPr>
            <w:r w:rsidRPr="003E403A">
              <w:rPr>
                <w:rStyle w:val="Bold"/>
                <w:color w:val="FFFFFF" w:themeColor="background1"/>
              </w:rPr>
              <w:t>Prohibition from Teaching, Prohibition from Management and Disqualification from Providing Childcare</w:t>
            </w:r>
          </w:p>
        </w:tc>
      </w:tr>
      <w:tr w:rsidR="006E09F3" w14:paraId="39200B7F" w14:textId="77777777" w:rsidTr="006E09F3">
        <w:tc>
          <w:tcPr>
            <w:tcW w:w="9016" w:type="dxa"/>
          </w:tcPr>
          <w:p w14:paraId="5ECCA761" w14:textId="77777777" w:rsidR="006E09F3" w:rsidRPr="00B32342" w:rsidRDefault="006E09F3" w:rsidP="006E09F3">
            <w:pPr>
              <w:pStyle w:val="Tabletext"/>
              <w:rPr>
                <w:bCs/>
              </w:rPr>
            </w:pPr>
            <w:r w:rsidRPr="00B32342">
              <w:rPr>
                <w:rStyle w:val="Bold"/>
                <w:b w:val="0"/>
                <w:bCs/>
              </w:rPr>
              <w:t>The School is not permitted to employ anyone to carry out 'teaching work' if they are prohibited from doing so</w:t>
            </w:r>
            <w:r w:rsidRPr="00B32342">
              <w:rPr>
                <w:bCs/>
              </w:rPr>
              <w:t>.  For these purposes 'teaching work' includes:</w:t>
            </w:r>
          </w:p>
          <w:p w14:paraId="6C3E1CC3" w14:textId="77777777" w:rsidR="006E09F3" w:rsidRPr="00B32342" w:rsidRDefault="006E09F3" w:rsidP="006E09F3">
            <w:pPr>
              <w:pStyle w:val="ListBullet"/>
              <w:rPr>
                <w:bCs/>
              </w:rPr>
            </w:pPr>
            <w:r w:rsidRPr="00B32342">
              <w:rPr>
                <w:bCs/>
              </w:rPr>
              <w:t>planning and preparing lessons and courses for pupils;</w:t>
            </w:r>
          </w:p>
          <w:p w14:paraId="25E24D97" w14:textId="77777777" w:rsidR="006E09F3" w:rsidRPr="00B32342" w:rsidRDefault="006E09F3" w:rsidP="006E09F3">
            <w:pPr>
              <w:pStyle w:val="ListBullet"/>
              <w:rPr>
                <w:bCs/>
              </w:rPr>
            </w:pPr>
            <w:r w:rsidRPr="00B32342">
              <w:rPr>
                <w:bCs/>
              </w:rPr>
              <w:t>delivering lessons to pupils;</w:t>
            </w:r>
          </w:p>
          <w:p w14:paraId="75C7714B" w14:textId="77777777" w:rsidR="006E09F3" w:rsidRPr="00B32342" w:rsidRDefault="006E09F3" w:rsidP="006E09F3">
            <w:pPr>
              <w:pStyle w:val="ListBullet"/>
              <w:rPr>
                <w:bCs/>
              </w:rPr>
            </w:pPr>
            <w:r w:rsidRPr="00B32342">
              <w:rPr>
                <w:bCs/>
              </w:rPr>
              <w:t>assessing the development, progress and attainment of pupils; and</w:t>
            </w:r>
          </w:p>
          <w:p w14:paraId="7F524979" w14:textId="77777777" w:rsidR="006E09F3" w:rsidRPr="00B32342" w:rsidRDefault="006E09F3" w:rsidP="006E09F3">
            <w:pPr>
              <w:pStyle w:val="ListBullet"/>
              <w:rPr>
                <w:bCs/>
              </w:rPr>
            </w:pPr>
            <w:proofErr w:type="gramStart"/>
            <w:r w:rsidRPr="00B32342">
              <w:rPr>
                <w:bCs/>
              </w:rPr>
              <w:t>reporting</w:t>
            </w:r>
            <w:proofErr w:type="gramEnd"/>
            <w:r w:rsidRPr="00B32342">
              <w:rPr>
                <w:bCs/>
              </w:rPr>
              <w:t xml:space="preserve"> on the development, progress and attainment of pupils.</w:t>
            </w:r>
          </w:p>
          <w:p w14:paraId="12D99149" w14:textId="77777777" w:rsidR="006E09F3" w:rsidRPr="00B32342" w:rsidRDefault="006E09F3" w:rsidP="006E09F3">
            <w:pPr>
              <w:pStyle w:val="Tabletext"/>
              <w:rPr>
                <w:bCs/>
              </w:rPr>
            </w:pPr>
            <w:r w:rsidRPr="00B32342">
              <w:rPr>
                <w:bCs/>
              </w:rPr>
              <w:t>The above activities do not amount to 'teaching work' if they are supervised by a qualified teacher or other person nominated by the Head.</w:t>
            </w:r>
          </w:p>
          <w:p w14:paraId="3FA74768" w14:textId="77777777" w:rsidR="006E09F3" w:rsidRPr="00B32342" w:rsidRDefault="006E09F3" w:rsidP="006E09F3">
            <w:pPr>
              <w:pStyle w:val="Tabletext"/>
              <w:rPr>
                <w:bCs/>
              </w:rPr>
            </w:pPr>
            <w:r w:rsidRPr="00B32342">
              <w:rPr>
                <w:rStyle w:val="Bold"/>
                <w:b w:val="0"/>
                <w:bCs/>
              </w:rPr>
              <w:t xml:space="preserve">The School </w:t>
            </w:r>
            <w:proofErr w:type="gramStart"/>
            <w:r w:rsidRPr="00B32342">
              <w:rPr>
                <w:rStyle w:val="Bold"/>
                <w:b w:val="0"/>
                <w:bCs/>
              </w:rPr>
              <w:t>is also not permitted</w:t>
            </w:r>
            <w:proofErr w:type="gramEnd"/>
            <w:r w:rsidRPr="00B32342">
              <w:rPr>
                <w:rStyle w:val="Bold"/>
                <w:b w:val="0"/>
                <w:bCs/>
              </w:rPr>
              <w:t xml:space="preserve"> to employ anyone to work in a management position if they are prohibited from being involved in the management of an independent school</w:t>
            </w:r>
            <w:r w:rsidRPr="00B32342">
              <w:rPr>
                <w:bCs/>
              </w:rPr>
              <w:t>. This applies to the following positions at the School:</w:t>
            </w:r>
          </w:p>
          <w:p w14:paraId="0F6B28DE" w14:textId="77777777" w:rsidR="006E09F3" w:rsidRPr="00B32342" w:rsidRDefault="006E09F3" w:rsidP="006E09F3">
            <w:pPr>
              <w:pStyle w:val="ListBullet"/>
              <w:rPr>
                <w:bCs/>
              </w:rPr>
            </w:pPr>
            <w:r w:rsidRPr="00B32342">
              <w:rPr>
                <w:bCs/>
              </w:rPr>
              <w:t>Head;</w:t>
            </w:r>
          </w:p>
          <w:p w14:paraId="1D0B7616" w14:textId="77777777" w:rsidR="006E09F3" w:rsidRPr="00B32342" w:rsidRDefault="006E09F3" w:rsidP="006E09F3">
            <w:pPr>
              <w:pStyle w:val="ListBullet"/>
              <w:rPr>
                <w:bCs/>
              </w:rPr>
            </w:pPr>
            <w:r w:rsidRPr="00B32342">
              <w:rPr>
                <w:bCs/>
              </w:rPr>
              <w:t>teaching posts on the senior leadership team;</w:t>
            </w:r>
          </w:p>
          <w:p w14:paraId="5BBDEEA0" w14:textId="77777777" w:rsidR="006E09F3" w:rsidRPr="00B32342" w:rsidRDefault="006E09F3" w:rsidP="006E09F3">
            <w:pPr>
              <w:pStyle w:val="ListBullet"/>
              <w:rPr>
                <w:bCs/>
              </w:rPr>
            </w:pPr>
            <w:r w:rsidRPr="00B32342">
              <w:rPr>
                <w:bCs/>
              </w:rPr>
              <w:t>teaching posts which carry a departmental head role; and</w:t>
            </w:r>
          </w:p>
          <w:p w14:paraId="207858A7" w14:textId="77777777" w:rsidR="006E09F3" w:rsidRPr="00B32342" w:rsidRDefault="006E09F3" w:rsidP="006E09F3">
            <w:pPr>
              <w:pStyle w:val="ListBullet"/>
              <w:rPr>
                <w:bCs/>
              </w:rPr>
            </w:pPr>
            <w:r w:rsidRPr="00B32342">
              <w:rPr>
                <w:bCs/>
              </w:rPr>
              <w:t>support staff posts on the senior leadership team; and</w:t>
            </w:r>
          </w:p>
          <w:p w14:paraId="43EDC10E" w14:textId="77777777" w:rsidR="006E09F3" w:rsidRPr="00B32342" w:rsidRDefault="006E09F3" w:rsidP="006E09F3">
            <w:pPr>
              <w:pStyle w:val="ListBullet"/>
              <w:rPr>
                <w:bCs/>
              </w:rPr>
            </w:pPr>
            <w:r w:rsidRPr="00B32342">
              <w:rPr>
                <w:bCs/>
              </w:rPr>
              <w:t xml:space="preserve">any other positions that are deemed to involve management responsibilities. </w:t>
            </w:r>
          </w:p>
          <w:p w14:paraId="13140D61" w14:textId="77777777" w:rsidR="006E09F3" w:rsidRPr="00B32342" w:rsidRDefault="006E09F3" w:rsidP="006E09F3">
            <w:pPr>
              <w:pStyle w:val="ListBullet"/>
              <w:numPr>
                <w:ilvl w:val="0"/>
                <w:numId w:val="0"/>
              </w:numPr>
              <w:rPr>
                <w:bCs/>
              </w:rPr>
            </w:pPr>
            <w:r w:rsidRPr="00B32342">
              <w:rPr>
                <w:rStyle w:val="Bold"/>
                <w:b w:val="0"/>
                <w:bCs/>
              </w:rPr>
              <w:t xml:space="preserve">The School is also not permitted to employ anyone to work in a </w:t>
            </w:r>
            <w:proofErr w:type="gramStart"/>
            <w:r w:rsidRPr="00B32342">
              <w:rPr>
                <w:rStyle w:val="Bold"/>
                <w:b w:val="0"/>
                <w:bCs/>
              </w:rPr>
              <w:t>position which</w:t>
            </w:r>
            <w:proofErr w:type="gramEnd"/>
            <w:r w:rsidRPr="00B32342">
              <w:rPr>
                <w:rStyle w:val="Bold"/>
                <w:b w:val="0"/>
                <w:bCs/>
              </w:rPr>
              <w:t xml:space="preserve"> involves the provision of 'childcare' if they are disqualified from providing 'childcare'</w:t>
            </w:r>
            <w:r w:rsidRPr="00B32342">
              <w:rPr>
                <w:bCs/>
              </w:rPr>
              <w:t>.  For these purposes 'childcare' includes:</w:t>
            </w:r>
          </w:p>
          <w:p w14:paraId="03520D2C" w14:textId="77777777" w:rsidR="006E09F3" w:rsidRPr="00B32342" w:rsidRDefault="006E09F3" w:rsidP="006E09F3">
            <w:pPr>
              <w:pStyle w:val="ListBullet"/>
              <w:rPr>
                <w:bCs/>
              </w:rPr>
            </w:pPr>
            <w:r w:rsidRPr="00B32342">
              <w:rPr>
                <w:bCs/>
              </w:rPr>
              <w:lastRenderedPageBreak/>
              <w:t>all supervised activities before, during and after the school day for children in our early years provision i.e. for a child up to 1 September following their 5th birthday; and</w:t>
            </w:r>
          </w:p>
          <w:p w14:paraId="7DCFF6AB" w14:textId="77777777" w:rsidR="006E09F3" w:rsidRPr="00B32342" w:rsidRDefault="006E09F3" w:rsidP="006E09F3">
            <w:pPr>
              <w:pStyle w:val="ListBullet"/>
              <w:rPr>
                <w:bCs/>
              </w:rPr>
            </w:pPr>
            <w:r w:rsidRPr="00B32342">
              <w:rPr>
                <w:bCs/>
              </w:rPr>
              <w:t>provision for children who are not in our early years provision and who are under the age of 8, which takes place on the school premises before or after the school day.</w:t>
            </w:r>
          </w:p>
          <w:p w14:paraId="2E370C57" w14:textId="77777777" w:rsidR="006E09F3" w:rsidRPr="00B32342" w:rsidRDefault="006E09F3" w:rsidP="006E09F3">
            <w:pPr>
              <w:pStyle w:val="Tabletext"/>
              <w:rPr>
                <w:bCs/>
              </w:rPr>
            </w:pPr>
            <w:r w:rsidRPr="00B32342">
              <w:rPr>
                <w:bCs/>
              </w:rPr>
              <w:t>Work as a cleaner, driver, transport escort, member of the catering staff or member of the office staff is not considered 'childcare' for these purposes.</w:t>
            </w:r>
          </w:p>
          <w:p w14:paraId="10E126B9" w14:textId="77777777" w:rsidR="006E09F3" w:rsidRPr="00B32342" w:rsidRDefault="006E09F3" w:rsidP="006E09F3">
            <w:pPr>
              <w:pStyle w:val="Tabletext"/>
              <w:rPr>
                <w:bCs/>
              </w:rPr>
            </w:pPr>
            <w:r w:rsidRPr="00B32342">
              <w:rPr>
                <w:rStyle w:val="Bold"/>
                <w:b w:val="0"/>
                <w:bCs/>
              </w:rPr>
              <w:t>The declaration at Section 14 of this Form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the School.</w:t>
            </w:r>
          </w:p>
          <w:p w14:paraId="067106D7" w14:textId="289734C4" w:rsidR="006E09F3" w:rsidRPr="006977B7" w:rsidRDefault="006E09F3" w:rsidP="006E09F3">
            <w:pPr>
              <w:pStyle w:val="Tabletext"/>
              <w:rPr>
                <w:rStyle w:val="Bold"/>
                <w:b w:val="0"/>
                <w:bCs/>
                <w:i/>
                <w:iCs/>
              </w:rPr>
            </w:pPr>
            <w:r w:rsidRPr="00B32342">
              <w:rPr>
                <w:rStyle w:val="Bold"/>
                <w:b w:val="0"/>
                <w:bCs/>
              </w:rPr>
              <w:t xml:space="preserve">The School will also carry out a check to determine whether successful applicants for relevant roles </w:t>
            </w:r>
            <w:proofErr w:type="gramStart"/>
            <w:r w:rsidRPr="00B32342">
              <w:rPr>
                <w:rStyle w:val="Bold"/>
                <w:b w:val="0"/>
                <w:bCs/>
              </w:rPr>
              <w:t>are prohibited from teaching and / or prohibited from involvement in the management of an independent school</w:t>
            </w:r>
            <w:proofErr w:type="gramEnd"/>
            <w:r w:rsidRPr="00B32342">
              <w:rPr>
                <w:rStyle w:val="Bold"/>
                <w:b w:val="0"/>
                <w:bCs/>
              </w:rPr>
              <w:t>. Successful applicants for 'childcare' roles will be required to complete a childcare disqualification self-declaration form</w:t>
            </w:r>
            <w:r w:rsidRPr="00B32342">
              <w:rPr>
                <w:bCs/>
              </w:rPr>
              <w:t>.</w:t>
            </w:r>
          </w:p>
        </w:tc>
      </w:tr>
      <w:tr w:rsidR="006E09F3" w14:paraId="2D8E3D64" w14:textId="77777777" w:rsidTr="006E09F3">
        <w:tc>
          <w:tcPr>
            <w:tcW w:w="9016" w:type="dxa"/>
            <w:shd w:val="clear" w:color="auto" w:fill="2F5496" w:themeFill="accent1" w:themeFillShade="BF"/>
          </w:tcPr>
          <w:p w14:paraId="6660E06A" w14:textId="328963A4" w:rsidR="006E09F3" w:rsidRPr="006977B7" w:rsidRDefault="006E09F3" w:rsidP="006E09F3">
            <w:pPr>
              <w:pStyle w:val="Tabletext"/>
              <w:rPr>
                <w:rStyle w:val="Bold"/>
                <w:b w:val="0"/>
                <w:bCs/>
                <w:i/>
                <w:iCs/>
              </w:rPr>
            </w:pPr>
            <w:r w:rsidRPr="00D81F4C">
              <w:rPr>
                <w:rStyle w:val="Bold"/>
                <w:color w:val="FFFFFF"/>
              </w:rPr>
              <w:lastRenderedPageBreak/>
              <w:t xml:space="preserve">Disclosure and Barring Service </w:t>
            </w:r>
            <w:r>
              <w:rPr>
                <w:rStyle w:val="Bold"/>
                <w:color w:val="FFFFFF"/>
              </w:rPr>
              <w:t>C</w:t>
            </w:r>
            <w:r w:rsidRPr="00D81F4C">
              <w:rPr>
                <w:rStyle w:val="Bold"/>
                <w:color w:val="FFFFFF"/>
              </w:rPr>
              <w:t xml:space="preserve">hecks, </w:t>
            </w:r>
            <w:r>
              <w:rPr>
                <w:rStyle w:val="Bold"/>
                <w:color w:val="FFFFFF"/>
              </w:rPr>
              <w:t>C</w:t>
            </w:r>
            <w:r w:rsidRPr="00D81F4C">
              <w:rPr>
                <w:rStyle w:val="Bold"/>
                <w:color w:val="FFFFFF"/>
              </w:rPr>
              <w:t>riminal</w:t>
            </w:r>
            <w:r>
              <w:rPr>
                <w:rStyle w:val="Bold"/>
                <w:color w:val="FFFFFF"/>
              </w:rPr>
              <w:t xml:space="preserve"> R</w:t>
            </w:r>
            <w:r w:rsidRPr="00D81F4C">
              <w:rPr>
                <w:rStyle w:val="Bold"/>
                <w:color w:val="FFFFFF"/>
              </w:rPr>
              <w:t>ecord and Children's Barred List</w:t>
            </w:r>
          </w:p>
        </w:tc>
      </w:tr>
      <w:tr w:rsidR="006E09F3" w14:paraId="77EA7AC1" w14:textId="77777777" w:rsidTr="006E09F3">
        <w:tc>
          <w:tcPr>
            <w:tcW w:w="9016" w:type="dxa"/>
          </w:tcPr>
          <w:p w14:paraId="55C05CD3" w14:textId="77777777" w:rsidR="006E09F3" w:rsidRPr="00B32342" w:rsidRDefault="006E09F3" w:rsidP="006E09F3">
            <w:pPr>
              <w:pStyle w:val="Tabletext"/>
            </w:pPr>
            <w:r w:rsidRPr="00B32342">
              <w:t>Please be aware that the School applies for an Enhanced Disclosure from the Disclosure and Barring Service (</w:t>
            </w:r>
            <w:r w:rsidRPr="00B32342">
              <w:rPr>
                <w:rStyle w:val="DefinitionTerm"/>
              </w:rPr>
              <w:t>DBS</w:t>
            </w:r>
            <w:r w:rsidRPr="00B32342">
              <w:t xml:space="preserve">) for all positions at the School which amount to regulated activity.  The role you are applying for meets the legal definition of regulated activity with children.  If you are successful in your </w:t>
            </w:r>
            <w:proofErr w:type="gramStart"/>
            <w:r w:rsidRPr="00B32342">
              <w:t>application</w:t>
            </w:r>
            <w:proofErr w:type="gramEnd"/>
            <w:r w:rsidRPr="00B32342">
              <w:t xml:space="preserve"> you will be required to complete a DBS Disclosure Application Form.  Employment with the School is conditional upon the School being satisfied with the result of the Enhanced DBS Disclosure.  Any criminal records information that </w:t>
            </w:r>
            <w:proofErr w:type="gramStart"/>
            <w:r w:rsidRPr="00B32342">
              <w:t>is disclosed</w:t>
            </w:r>
            <w:proofErr w:type="gramEnd"/>
            <w:r w:rsidRPr="00B32342">
              <w:t xml:space="preserve"> to the School will be handled in accordance with any guidance and / or code of practice published by the DBS.</w:t>
            </w:r>
          </w:p>
          <w:p w14:paraId="4FB5E82A" w14:textId="77777777" w:rsidR="006E09F3" w:rsidRPr="00B32342" w:rsidRDefault="006E09F3" w:rsidP="006E09F3">
            <w:pPr>
              <w:pStyle w:val="Tabletext"/>
            </w:pPr>
            <w:r w:rsidRPr="00B32342">
              <w:t xml:space="preserve">The School will also carry out a check of the Children's Barred List.  Please be aware that it is unlawful for the School to employ anyone to work with children if they </w:t>
            </w:r>
            <w:proofErr w:type="gramStart"/>
            <w:r w:rsidRPr="00B32342">
              <w:t>are barred</w:t>
            </w:r>
            <w:proofErr w:type="gramEnd"/>
            <w:r w:rsidRPr="00B32342">
              <w:t xml:space="preserve"> from doing so, and it is a criminal offence for a person to apply to work with children if they are barred from doing so. </w:t>
            </w:r>
            <w:r w:rsidRPr="00B32342">
              <w:rPr>
                <w:rStyle w:val="Bold"/>
                <w:b w:val="0"/>
                <w:bCs/>
              </w:rPr>
              <w:t>The declaration in Section 11 of the Application Form therefore asks you to confirm whether you are barred from working with children</w:t>
            </w:r>
            <w:r w:rsidRPr="00B32342">
              <w:rPr>
                <w:b/>
                <w:bCs/>
              </w:rPr>
              <w:t>.</w:t>
            </w:r>
          </w:p>
          <w:p w14:paraId="1098611D" w14:textId="77777777" w:rsidR="006E09F3" w:rsidRPr="00B32342" w:rsidRDefault="006E09F3" w:rsidP="006E09F3">
            <w:pPr>
              <w:pStyle w:val="Tabletext"/>
            </w:pPr>
            <w:r w:rsidRPr="00B32342">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B32342">
              <w:rPr>
                <w:rStyle w:val="Bold"/>
                <w:b w:val="0"/>
                <w:bCs/>
              </w:rPr>
              <w:t>However, you will not have to disclose a caution or conviction for an offence committed in the United Kingdom if it has been filtered in accordance with the DBS filtering rules</w:t>
            </w:r>
            <w:r w:rsidRPr="00B32342">
              <w:rPr>
                <w:b/>
                <w:bCs/>
              </w:rPr>
              <w:t>.</w:t>
            </w:r>
          </w:p>
          <w:p w14:paraId="6009ED89" w14:textId="40D23E72" w:rsidR="006E09F3" w:rsidRPr="006977B7" w:rsidRDefault="006E09F3" w:rsidP="006E09F3">
            <w:pPr>
              <w:pStyle w:val="Tabletext"/>
              <w:rPr>
                <w:rStyle w:val="Bold"/>
                <w:b w:val="0"/>
                <w:bCs/>
                <w:i/>
                <w:iCs/>
              </w:rPr>
            </w:pPr>
            <w:r w:rsidRPr="00B32342">
              <w:t>Having a criminal record will not necessarily prevent you from taking up employment with the School.  Instead, the School will assess each case on its merits and with reference to the School's objective assessment criteria set out in the Safer Recruitment policy.</w:t>
            </w:r>
          </w:p>
        </w:tc>
      </w:tr>
    </w:tbl>
    <w:p w14:paraId="69BF4963" w14:textId="77777777" w:rsidR="006E09F3" w:rsidRDefault="006E09F3"/>
    <w:p w14:paraId="10AD74E0" w14:textId="5F05409C" w:rsidR="006E09F3" w:rsidRDefault="006E09F3"/>
    <w:p w14:paraId="678C908A" w14:textId="77777777" w:rsidR="006E09F3" w:rsidRDefault="006E09F3"/>
    <w:sectPr w:rsidR="006E09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7A81"/>
    <w:multiLevelType w:val="hybridMultilevel"/>
    <w:tmpl w:val="1216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9F3"/>
    <w:rsid w:val="001C5006"/>
    <w:rsid w:val="006E09F3"/>
    <w:rsid w:val="00CF7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59218"/>
  <w15:chartTrackingRefBased/>
  <w15:docId w15:val="{2DCBAE61-7B6E-47B7-BF6B-DFE14775F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6E09F3"/>
    <w:rPr>
      <w:b/>
    </w:rPr>
  </w:style>
  <w:style w:type="paragraph" w:customStyle="1" w:styleId="Tabletext">
    <w:name w:val="Table text"/>
    <w:basedOn w:val="Normal"/>
    <w:rsid w:val="006E09F3"/>
    <w:pPr>
      <w:spacing w:after="120" w:line="240" w:lineRule="auto"/>
    </w:pPr>
    <w:rPr>
      <w:rFonts w:ascii="Calibri" w:eastAsia="Times New Roman" w:hAnsi="Calibri" w:cs="Times New Roman"/>
      <w:szCs w:val="20"/>
    </w:rPr>
  </w:style>
  <w:style w:type="paragraph" w:styleId="ListBullet">
    <w:name w:val="List Bullet"/>
    <w:basedOn w:val="Normal"/>
    <w:rsid w:val="006E09F3"/>
    <w:pPr>
      <w:numPr>
        <w:numId w:val="2"/>
      </w:numPr>
      <w:spacing w:after="120" w:line="240" w:lineRule="auto"/>
    </w:pPr>
    <w:rPr>
      <w:rFonts w:ascii="Calibri" w:eastAsia="Times New Roman" w:hAnsi="Calibri" w:cs="Times New Roman"/>
      <w:szCs w:val="20"/>
    </w:rPr>
  </w:style>
  <w:style w:type="paragraph" w:styleId="ListBullet2">
    <w:name w:val="List Bullet 2"/>
    <w:basedOn w:val="Normal"/>
    <w:rsid w:val="006E09F3"/>
    <w:pPr>
      <w:numPr>
        <w:ilvl w:val="1"/>
        <w:numId w:val="2"/>
      </w:numPr>
      <w:spacing w:after="120" w:line="240" w:lineRule="auto"/>
    </w:pPr>
    <w:rPr>
      <w:rFonts w:ascii="Calibri" w:eastAsia="Times New Roman" w:hAnsi="Calibri" w:cs="Times New Roman"/>
      <w:szCs w:val="20"/>
    </w:rPr>
  </w:style>
  <w:style w:type="character" w:customStyle="1" w:styleId="DefinitionTerm">
    <w:name w:val="Definition Term"/>
    <w:rsid w:val="006E09F3"/>
    <w:rPr>
      <w:b/>
      <w:color w:val="auto"/>
    </w:rPr>
  </w:style>
  <w:style w:type="table" w:styleId="TableGrid">
    <w:name w:val="Table Grid"/>
    <w:basedOn w:val="TableNormal"/>
    <w:uiPriority w:val="39"/>
    <w:rsid w:val="006E0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4afa4e-2212-4690-a5e5-f1f619d3abb5">
      <Terms xmlns="http://schemas.microsoft.com/office/infopath/2007/PartnerControls"/>
    </lcf76f155ced4ddcb4097134ff3c332f>
    <TaxCatchAll xmlns="05645cd8-f269-47a7-977e-56db44512d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1F6C547DF94A4DAA1A3D67837A10CB" ma:contentTypeVersion="17" ma:contentTypeDescription="Create a new document." ma:contentTypeScope="" ma:versionID="2602816eae7d3f244401cefb6fe189fd">
  <xsd:schema xmlns:xsd="http://www.w3.org/2001/XMLSchema" xmlns:xs="http://www.w3.org/2001/XMLSchema" xmlns:p="http://schemas.microsoft.com/office/2006/metadata/properties" xmlns:ns2="e54afa4e-2212-4690-a5e5-f1f619d3abb5" xmlns:ns3="05645cd8-f269-47a7-977e-56db44512d22" targetNamespace="http://schemas.microsoft.com/office/2006/metadata/properties" ma:root="true" ma:fieldsID="59fafd9f805401edf6b0b66164990148" ns2:_="" ns3:_="">
    <xsd:import namespace="e54afa4e-2212-4690-a5e5-f1f619d3abb5"/>
    <xsd:import namespace="05645cd8-f269-47a7-977e-56db44512d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afa4e-2212-4690-a5e5-f1f619d3a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c22646-9879-4b7a-af39-e466dde7e09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45cd8-f269-47a7-977e-56db44512d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ac11b8-40b6-407c-bfa9-dca5d53abac1}" ma:internalName="TaxCatchAll" ma:showField="CatchAllData" ma:web="05645cd8-f269-47a7-977e-56db44512d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583579-7CF4-44A1-8B7D-B799D92E0939}">
  <ds:schemaRefs>
    <ds:schemaRef ds:uri="e54afa4e-2212-4690-a5e5-f1f619d3abb5"/>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5645cd8-f269-47a7-977e-56db44512d22"/>
    <ds:schemaRef ds:uri="http://www.w3.org/XML/1998/namespace"/>
  </ds:schemaRefs>
</ds:datastoreItem>
</file>

<file path=customXml/itemProps2.xml><?xml version="1.0" encoding="utf-8"?>
<ds:datastoreItem xmlns:ds="http://schemas.openxmlformats.org/officeDocument/2006/customXml" ds:itemID="{2F4DFC83-CF6C-4E1D-BF59-272DB01BF1A7}">
  <ds:schemaRefs>
    <ds:schemaRef ds:uri="http://schemas.microsoft.com/sharepoint/v3/contenttype/forms"/>
  </ds:schemaRefs>
</ds:datastoreItem>
</file>

<file path=customXml/itemProps3.xml><?xml version="1.0" encoding="utf-8"?>
<ds:datastoreItem xmlns:ds="http://schemas.openxmlformats.org/officeDocument/2006/customXml" ds:itemID="{EC9B5516-D76F-4735-979C-746C0B6AA147}"/>
</file>

<file path=docProps/app.xml><?xml version="1.0" encoding="utf-8"?>
<Properties xmlns="http://schemas.openxmlformats.org/officeDocument/2006/extended-properties" xmlns:vt="http://schemas.openxmlformats.org/officeDocument/2006/docPropsVTypes">
  <Template>Normal</Template>
  <TotalTime>5</TotalTime>
  <Pages>2</Pages>
  <Words>908</Words>
  <Characters>5178</Characters>
  <Application>Microsoft Office Word</Application>
  <DocSecurity>0</DocSecurity>
  <Lines>43</Lines>
  <Paragraphs>12</Paragraphs>
  <ScaleCrop>false</ScaleCrop>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Askew</dc:creator>
  <cp:keywords/>
  <dc:description/>
  <cp:lastModifiedBy>Lesley Wallace</cp:lastModifiedBy>
  <cp:revision>2</cp:revision>
  <dcterms:created xsi:type="dcterms:W3CDTF">2022-08-25T14:45:00Z</dcterms:created>
  <dcterms:modified xsi:type="dcterms:W3CDTF">2023-05-03T11:55:00Z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0x010100991F6C547DF94A4DAA1A3D67837A10CB</vt:lpwstr>
  </property>
  <property fmtid="{D5CDD505-2E9C-101B-9397-08002B2CF9AE}" pid="3" name="MediaServiceImageTags">
    <vt:lpwstr/>
  </property>
</Properties>
</file>