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4641" w:rsidRDefault="00F84B61">
      <w:pPr>
        <w:jc w:val="both"/>
      </w:pPr>
      <w:bookmarkStart w:id="0" w:name="_gjdgxs" w:colFirst="0" w:colLast="0"/>
      <w:bookmarkStart w:id="1" w:name="_GoBack"/>
      <w:bookmarkEnd w:id="0"/>
      <w:bookmarkEnd w:id="1"/>
      <w:r>
        <w:rPr>
          <w:b/>
          <w:sz w:val="24"/>
          <w:szCs w:val="24"/>
          <w:u w:val="single"/>
        </w:rPr>
        <w:t>MATHEMATICS  DEPARTMENT</w:t>
      </w:r>
    </w:p>
    <w:p w:rsidR="00F54641" w:rsidRDefault="00F54641">
      <w:pPr>
        <w:jc w:val="both"/>
      </w:pPr>
    </w:p>
    <w:p w:rsidR="00F54641" w:rsidRDefault="00F84B61">
      <w:pPr>
        <w:jc w:val="both"/>
      </w:pPr>
      <w:r>
        <w:rPr>
          <w:b/>
          <w:sz w:val="24"/>
          <w:szCs w:val="24"/>
          <w:u w:val="single"/>
        </w:rPr>
        <w:t>JOHN COLET SCHOOL</w:t>
      </w:r>
    </w:p>
    <w:p w:rsidR="00F54641" w:rsidRDefault="00F54641">
      <w:pPr>
        <w:jc w:val="both"/>
      </w:pPr>
    </w:p>
    <w:p w:rsidR="00F54641" w:rsidRDefault="00F84B61">
      <w:pPr>
        <w:jc w:val="both"/>
      </w:pPr>
      <w:r>
        <w:rPr>
          <w:sz w:val="24"/>
          <w:szCs w:val="24"/>
        </w:rPr>
        <w:t>The Mathematics department at The John Colet School is a successful, innovative department. We have had a year upon year improvement, with the department achieving 72% Grades 4-9 at GCSE grades in 2018. As a school, we have a proven track record of raising</w:t>
      </w:r>
      <w:r>
        <w:rPr>
          <w:sz w:val="24"/>
          <w:szCs w:val="24"/>
        </w:rPr>
        <w:t xml:space="preserve"> achievement and attainment at all levels, and within Mathematics, we ensure we provide the support needed for students to achieve their targets. </w:t>
      </w:r>
    </w:p>
    <w:p w:rsidR="00F54641" w:rsidRDefault="00F54641">
      <w:pPr>
        <w:jc w:val="both"/>
      </w:pPr>
    </w:p>
    <w:p w:rsidR="00F54641" w:rsidRDefault="00F84B61">
      <w:pPr>
        <w:jc w:val="both"/>
      </w:pPr>
      <w:r>
        <w:rPr>
          <w:sz w:val="24"/>
          <w:szCs w:val="24"/>
        </w:rPr>
        <w:t>Mathematics has a dedicated building, with 5 large teaching rooms and a smaller tutorial room which is often</w:t>
      </w:r>
      <w:r>
        <w:rPr>
          <w:sz w:val="24"/>
          <w:szCs w:val="24"/>
        </w:rPr>
        <w:t xml:space="preserve"> used by our department support team. Each room has an interactive whiteboard, a visualizer and a desktop computer with access to various IT programmes. The Mathematics office provides a working space with access to a variety of resources, including a set </w:t>
      </w:r>
      <w:r>
        <w:rPr>
          <w:sz w:val="24"/>
          <w:szCs w:val="24"/>
        </w:rPr>
        <w:t>of 35 chromebooks for the students which can be booked out for lessons. The school uses Show My Homework, a web-based homework setting facility which has had a huge impact on the quality of homework. As a department, we have a number of Maths programmes in</w:t>
      </w:r>
      <w:r>
        <w:rPr>
          <w:sz w:val="24"/>
          <w:szCs w:val="24"/>
        </w:rPr>
        <w:t>cluding Mymaths, Mathsbox and Integral Maths for KS5.</w:t>
      </w:r>
    </w:p>
    <w:p w:rsidR="00F54641" w:rsidRDefault="00F54641">
      <w:pPr>
        <w:jc w:val="both"/>
      </w:pPr>
    </w:p>
    <w:p w:rsidR="00F54641" w:rsidRDefault="00F84B61">
      <w:pPr>
        <w:jc w:val="both"/>
      </w:pPr>
      <w:r>
        <w:rPr>
          <w:sz w:val="24"/>
          <w:szCs w:val="24"/>
        </w:rPr>
        <w:t xml:space="preserve">There is a strong sense of teamwork within the department – supporting each other and sharing good practice is seen as integral to our development. Our specialist Maths HLTA supports our students both </w:t>
      </w:r>
      <w:r>
        <w:rPr>
          <w:sz w:val="24"/>
          <w:szCs w:val="24"/>
        </w:rPr>
        <w:t>inside the lessons and in after school provisions. They work closely with us to ensure that the needs of our students are addressed straightaway in the lesson. We have a comprehensive and detailed set of schemes of work. The schemes of work are regularly r</w:t>
      </w:r>
      <w:r>
        <w:rPr>
          <w:sz w:val="24"/>
          <w:szCs w:val="24"/>
        </w:rPr>
        <w:t>eviewed as we strive to make sure that our students are enjoying the best planned lessons. All of the Mathematics team are actively encouraged to participate in continued professional development by visiting other maths lessons as well as attending courses</w:t>
      </w:r>
      <w:r>
        <w:rPr>
          <w:sz w:val="24"/>
          <w:szCs w:val="24"/>
        </w:rPr>
        <w:t xml:space="preserve"> outside of school.</w:t>
      </w:r>
    </w:p>
    <w:p w:rsidR="00F54641" w:rsidRDefault="00F54641">
      <w:pPr>
        <w:jc w:val="both"/>
      </w:pPr>
    </w:p>
    <w:p w:rsidR="00F54641" w:rsidRDefault="00F84B61">
      <w:pPr>
        <w:jc w:val="both"/>
      </w:pPr>
      <w:r>
        <w:rPr>
          <w:sz w:val="24"/>
          <w:szCs w:val="24"/>
        </w:rPr>
        <w:t>Our GCSE curriculum starts in Year 7 and continues through to Year 11 which coincides with the changes made to the new GCSE in Mathematics. Our schemes of work are designed to encourage Mathematical reasoning and problem solving in les</w:t>
      </w:r>
      <w:r>
        <w:rPr>
          <w:sz w:val="24"/>
          <w:szCs w:val="24"/>
        </w:rPr>
        <w:t xml:space="preserve">sons. We believe that the key to Mathematical engagement is when students can see the real life links through functional tasks and problem solving. We encourage tasks that embed creative thinking and promote student resilience. </w:t>
      </w:r>
    </w:p>
    <w:p w:rsidR="00F54641" w:rsidRDefault="00F54641">
      <w:pPr>
        <w:jc w:val="both"/>
      </w:pPr>
    </w:p>
    <w:p w:rsidR="00F54641" w:rsidRDefault="00F84B61">
      <w:pPr>
        <w:jc w:val="both"/>
      </w:pPr>
      <w:r>
        <w:rPr>
          <w:sz w:val="24"/>
          <w:szCs w:val="24"/>
        </w:rPr>
        <w:t>Our KS4 groups sit the EDE</w:t>
      </w:r>
      <w:r>
        <w:rPr>
          <w:sz w:val="24"/>
          <w:szCs w:val="24"/>
        </w:rPr>
        <w:t xml:space="preserve">XCEL linear papers at the end of their GCSE course in Year 11. At post-16 level, the Department follows the new AQA specification.  </w:t>
      </w:r>
    </w:p>
    <w:p w:rsidR="00F54641" w:rsidRDefault="00F54641">
      <w:pPr>
        <w:jc w:val="both"/>
      </w:pPr>
    </w:p>
    <w:p w:rsidR="00F54641" w:rsidRDefault="00F84B61">
      <w:pPr>
        <w:jc w:val="both"/>
        <w:rPr>
          <w:sz w:val="24"/>
          <w:szCs w:val="24"/>
        </w:rPr>
      </w:pPr>
      <w:r>
        <w:rPr>
          <w:sz w:val="24"/>
          <w:szCs w:val="24"/>
        </w:rPr>
        <w:t>There are very good links with outside organisations, which enhances the learning experience of many of our students. We a</w:t>
      </w:r>
      <w:r>
        <w:rPr>
          <w:sz w:val="24"/>
          <w:szCs w:val="24"/>
        </w:rPr>
        <w:t>re involved with both the Wycombe and Milton Keynes Maths Hubs and we able to attend the courses that are on offer there. We have developed cross-curricular days with other departments and have Maths Outreach days where we invite students from our feeder s</w:t>
      </w:r>
      <w:r>
        <w:rPr>
          <w:sz w:val="24"/>
          <w:szCs w:val="24"/>
        </w:rPr>
        <w:t>chools to spend a day with us.</w:t>
      </w:r>
    </w:p>
    <w:p w:rsidR="00F54641" w:rsidRDefault="00F54641">
      <w:pPr>
        <w:jc w:val="both"/>
      </w:pPr>
    </w:p>
    <w:p w:rsidR="00F54641" w:rsidRDefault="00F84B61">
      <w:pPr>
        <w:jc w:val="both"/>
        <w:rPr>
          <w:b/>
          <w:sz w:val="24"/>
          <w:szCs w:val="24"/>
        </w:rPr>
      </w:pPr>
      <w:r>
        <w:rPr>
          <w:b/>
          <w:sz w:val="24"/>
          <w:szCs w:val="24"/>
        </w:rPr>
        <w:t xml:space="preserve">GCSE Results </w:t>
      </w:r>
    </w:p>
    <w:p w:rsidR="00F54641" w:rsidRDefault="00F54641">
      <w:pPr>
        <w:jc w:val="both"/>
      </w:pPr>
    </w:p>
    <w:tbl>
      <w:tblPr>
        <w:tblStyle w:val="a"/>
        <w:tblW w:w="8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980"/>
        <w:gridCol w:w="1754"/>
        <w:gridCol w:w="1754"/>
      </w:tblGrid>
      <w:tr w:rsidR="00F54641">
        <w:tc>
          <w:tcPr>
            <w:tcW w:w="2628" w:type="dxa"/>
          </w:tcPr>
          <w:p w:rsidR="00F54641" w:rsidRDefault="00F54641">
            <w:pPr>
              <w:jc w:val="both"/>
            </w:pPr>
          </w:p>
        </w:tc>
        <w:tc>
          <w:tcPr>
            <w:tcW w:w="1980" w:type="dxa"/>
          </w:tcPr>
          <w:p w:rsidR="00F54641" w:rsidRDefault="00F84B61">
            <w:pPr>
              <w:jc w:val="both"/>
            </w:pPr>
            <w:r>
              <w:rPr>
                <w:b/>
                <w:sz w:val="24"/>
                <w:szCs w:val="24"/>
              </w:rPr>
              <w:t>9-4</w:t>
            </w:r>
          </w:p>
        </w:tc>
        <w:tc>
          <w:tcPr>
            <w:tcW w:w="1754" w:type="dxa"/>
          </w:tcPr>
          <w:p w:rsidR="00F54641" w:rsidRDefault="00F84B61">
            <w:pPr>
              <w:jc w:val="both"/>
              <w:rPr>
                <w:b/>
              </w:rPr>
            </w:pPr>
            <w:r>
              <w:rPr>
                <w:b/>
              </w:rPr>
              <w:t>9-5</w:t>
            </w:r>
          </w:p>
        </w:tc>
        <w:tc>
          <w:tcPr>
            <w:tcW w:w="1754" w:type="dxa"/>
          </w:tcPr>
          <w:p w:rsidR="00F54641" w:rsidRDefault="00F84B61">
            <w:pPr>
              <w:jc w:val="both"/>
            </w:pPr>
            <w:r>
              <w:rPr>
                <w:b/>
                <w:sz w:val="24"/>
                <w:szCs w:val="24"/>
              </w:rPr>
              <w:t>9-7</w:t>
            </w:r>
          </w:p>
        </w:tc>
      </w:tr>
      <w:tr w:rsidR="00F54641">
        <w:tc>
          <w:tcPr>
            <w:tcW w:w="2628" w:type="dxa"/>
          </w:tcPr>
          <w:p w:rsidR="00F54641" w:rsidRDefault="00F84B61">
            <w:pPr>
              <w:jc w:val="both"/>
            </w:pPr>
            <w:r>
              <w:rPr>
                <w:b/>
                <w:sz w:val="24"/>
                <w:szCs w:val="24"/>
              </w:rPr>
              <w:t>GCSE Maths</w:t>
            </w:r>
          </w:p>
        </w:tc>
        <w:tc>
          <w:tcPr>
            <w:tcW w:w="1980" w:type="dxa"/>
          </w:tcPr>
          <w:p w:rsidR="00F54641" w:rsidRDefault="00F84B61">
            <w:pPr>
              <w:jc w:val="both"/>
            </w:pPr>
            <w:r>
              <w:t>72%</w:t>
            </w:r>
          </w:p>
        </w:tc>
        <w:tc>
          <w:tcPr>
            <w:tcW w:w="1754" w:type="dxa"/>
          </w:tcPr>
          <w:p w:rsidR="00F54641" w:rsidRDefault="00F84B61">
            <w:pPr>
              <w:jc w:val="both"/>
            </w:pPr>
            <w:r>
              <w:t>42.5%</w:t>
            </w:r>
          </w:p>
        </w:tc>
        <w:tc>
          <w:tcPr>
            <w:tcW w:w="1754" w:type="dxa"/>
          </w:tcPr>
          <w:p w:rsidR="00F54641" w:rsidRDefault="00F84B61">
            <w:pPr>
              <w:jc w:val="both"/>
            </w:pPr>
            <w:r>
              <w:t>8.6%</w:t>
            </w:r>
          </w:p>
        </w:tc>
      </w:tr>
    </w:tbl>
    <w:p w:rsidR="00F54641" w:rsidRDefault="00F54641">
      <w:pPr>
        <w:jc w:val="both"/>
      </w:pPr>
    </w:p>
    <w:p w:rsidR="00F54641" w:rsidRDefault="00F54641">
      <w:pPr>
        <w:jc w:val="both"/>
      </w:pPr>
    </w:p>
    <w:p w:rsidR="00F54641" w:rsidRDefault="00F84B61">
      <w:pPr>
        <w:jc w:val="both"/>
      </w:pPr>
      <w:r>
        <w:rPr>
          <w:b/>
          <w:sz w:val="24"/>
          <w:szCs w:val="24"/>
        </w:rPr>
        <w:t>GCE Results</w:t>
      </w:r>
    </w:p>
    <w:tbl>
      <w:tblPr>
        <w:tblStyle w:val="a0"/>
        <w:tblW w:w="6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980"/>
        <w:gridCol w:w="1754"/>
      </w:tblGrid>
      <w:tr w:rsidR="00F54641">
        <w:tc>
          <w:tcPr>
            <w:tcW w:w="2628" w:type="dxa"/>
          </w:tcPr>
          <w:p w:rsidR="00F54641" w:rsidRDefault="00F54641">
            <w:pPr>
              <w:jc w:val="both"/>
            </w:pPr>
          </w:p>
        </w:tc>
        <w:tc>
          <w:tcPr>
            <w:tcW w:w="1980" w:type="dxa"/>
          </w:tcPr>
          <w:p w:rsidR="00F54641" w:rsidRDefault="00F84B61">
            <w:pPr>
              <w:jc w:val="both"/>
            </w:pPr>
            <w:r>
              <w:rPr>
                <w:b/>
                <w:sz w:val="24"/>
                <w:szCs w:val="24"/>
              </w:rPr>
              <w:t>A*-B</w:t>
            </w:r>
          </w:p>
        </w:tc>
        <w:tc>
          <w:tcPr>
            <w:tcW w:w="1754" w:type="dxa"/>
          </w:tcPr>
          <w:p w:rsidR="00F54641" w:rsidRDefault="00F84B61">
            <w:pPr>
              <w:jc w:val="both"/>
            </w:pPr>
            <w:r>
              <w:rPr>
                <w:b/>
                <w:sz w:val="24"/>
                <w:szCs w:val="24"/>
              </w:rPr>
              <w:t>A*-E</w:t>
            </w:r>
          </w:p>
        </w:tc>
      </w:tr>
      <w:tr w:rsidR="00F54641">
        <w:tc>
          <w:tcPr>
            <w:tcW w:w="2628" w:type="dxa"/>
          </w:tcPr>
          <w:p w:rsidR="00F54641" w:rsidRDefault="00F84B61">
            <w:pPr>
              <w:jc w:val="both"/>
            </w:pPr>
            <w:r>
              <w:rPr>
                <w:b/>
                <w:sz w:val="24"/>
                <w:szCs w:val="24"/>
              </w:rPr>
              <w:t>A2 Maths</w:t>
            </w:r>
          </w:p>
        </w:tc>
        <w:tc>
          <w:tcPr>
            <w:tcW w:w="1980" w:type="dxa"/>
          </w:tcPr>
          <w:p w:rsidR="00F54641" w:rsidRDefault="00F84B61">
            <w:pPr>
              <w:jc w:val="both"/>
            </w:pPr>
            <w:r>
              <w:t>37.5%</w:t>
            </w:r>
          </w:p>
        </w:tc>
        <w:tc>
          <w:tcPr>
            <w:tcW w:w="1754" w:type="dxa"/>
          </w:tcPr>
          <w:p w:rsidR="00F54641" w:rsidRDefault="00F84B61">
            <w:pPr>
              <w:jc w:val="both"/>
            </w:pPr>
            <w:r>
              <w:t>62.5%</w:t>
            </w:r>
          </w:p>
        </w:tc>
      </w:tr>
    </w:tbl>
    <w:p w:rsidR="00F54641" w:rsidRDefault="00F54641">
      <w:pPr>
        <w:jc w:val="both"/>
      </w:pPr>
    </w:p>
    <w:p w:rsidR="00F54641" w:rsidRDefault="00F54641">
      <w:pPr>
        <w:jc w:val="both"/>
      </w:pPr>
    </w:p>
    <w:sectPr w:rsidR="00F54641">
      <w:headerReference w:type="default" r:id="rId6"/>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4B61">
      <w:r>
        <w:separator/>
      </w:r>
    </w:p>
  </w:endnote>
  <w:endnote w:type="continuationSeparator" w:id="0">
    <w:p w:rsidR="00000000" w:rsidRDefault="00F8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4B61">
      <w:r>
        <w:separator/>
      </w:r>
    </w:p>
  </w:footnote>
  <w:footnote w:type="continuationSeparator" w:id="0">
    <w:p w:rsidR="00000000" w:rsidRDefault="00F8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41" w:rsidRDefault="00F84B61">
    <w:pPr>
      <w:tabs>
        <w:tab w:val="center" w:pos="4153"/>
        <w:tab w:val="right" w:pos="8306"/>
      </w:tabs>
      <w:spacing w:before="720"/>
      <w:jc w:val="center"/>
    </w:pPr>
    <w:r>
      <w:fldChar w:fldCharType="begin"/>
    </w:r>
    <w:r>
      <w:instrText>PAGE</w:instrText>
    </w:r>
    <w:r>
      <w:fldChar w:fldCharType="end"/>
    </w:r>
  </w:p>
  <w:p w:rsidR="00F54641" w:rsidRDefault="00F5464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41"/>
    <w:rsid w:val="00F54641"/>
    <w:rsid w:val="00F8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9A035-BCE9-4ADE-BA4D-E4A6788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BAEBC868</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CPerry</dc:creator>
  <cp:lastModifiedBy>CPerry</cp:lastModifiedBy>
  <cp:revision>2</cp:revision>
  <cp:lastPrinted>2018-12-10T08:05:00Z</cp:lastPrinted>
  <dcterms:created xsi:type="dcterms:W3CDTF">2018-12-10T08:06:00Z</dcterms:created>
  <dcterms:modified xsi:type="dcterms:W3CDTF">2018-12-10T08:06:00Z</dcterms:modified>
</cp:coreProperties>
</file>