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5E8" w:rsidRDefault="003A73BB">
      <w:pPr>
        <w:pBdr>
          <w:top w:val="nil"/>
          <w:left w:val="nil"/>
          <w:bottom w:val="nil"/>
          <w:right w:val="nil"/>
          <w:between w:val="nil"/>
        </w:pBdr>
        <w:ind w:left="0" w:right="0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195753" cy="95421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753" cy="954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45E8" w:rsidRDefault="007745E8">
      <w:pPr>
        <w:pBdr>
          <w:top w:val="nil"/>
          <w:left w:val="nil"/>
          <w:bottom w:val="nil"/>
          <w:right w:val="nil"/>
          <w:between w:val="nil"/>
        </w:pBdr>
        <w:ind w:left="0" w:right="0"/>
        <w:jc w:val="center"/>
        <w:rPr>
          <w:b/>
          <w:i/>
          <w:color w:val="000000"/>
          <w:sz w:val="24"/>
          <w:szCs w:val="24"/>
        </w:rPr>
      </w:pPr>
      <w:bookmarkStart w:id="0" w:name="_gjdgxs" w:colFirst="0" w:colLast="0"/>
      <w:bookmarkEnd w:id="0"/>
    </w:p>
    <w:p w:rsidR="007745E8" w:rsidRDefault="003A73BB">
      <w:pPr>
        <w:pBdr>
          <w:top w:val="nil"/>
          <w:left w:val="nil"/>
          <w:bottom w:val="nil"/>
          <w:right w:val="nil"/>
          <w:between w:val="nil"/>
        </w:pBdr>
        <w:ind w:left="0" w:right="0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Learning Support Assistant</w:t>
      </w:r>
    </w:p>
    <w:p w:rsidR="007745E8" w:rsidRDefault="003A73BB">
      <w:pPr>
        <w:pBdr>
          <w:top w:val="nil"/>
          <w:left w:val="nil"/>
          <w:bottom w:val="nil"/>
          <w:right w:val="nil"/>
          <w:between w:val="nil"/>
        </w:pBdr>
        <w:ind w:left="0" w:right="0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Job Description</w:t>
      </w:r>
    </w:p>
    <w:p w:rsidR="007745E8" w:rsidRDefault="007745E8">
      <w:pPr>
        <w:ind w:left="0" w:right="0"/>
        <w:rPr>
          <w:b/>
          <w:sz w:val="24"/>
          <w:szCs w:val="24"/>
        </w:rPr>
      </w:pPr>
    </w:p>
    <w:p w:rsidR="007745E8" w:rsidRDefault="003A73BB">
      <w:pPr>
        <w:ind w:firstLine="835"/>
        <w:jc w:val="center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Confident</w:t>
      </w:r>
    </w:p>
    <w:p w:rsidR="007745E8" w:rsidRDefault="003A73BB">
      <w:pPr>
        <w:ind w:firstLine="835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All members are actively learning and developing.</w:t>
      </w:r>
    </w:p>
    <w:p w:rsidR="007745E8" w:rsidRDefault="003A73BB">
      <w:pPr>
        <w:ind w:firstLine="835"/>
        <w:jc w:val="center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Aspirational</w:t>
      </w:r>
    </w:p>
    <w:p w:rsidR="007745E8" w:rsidRDefault="003A73BB">
      <w:pPr>
        <w:ind w:firstLine="835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An academic core, enriched with creative and specialist pathways.</w:t>
      </w:r>
    </w:p>
    <w:p w:rsidR="007745E8" w:rsidRDefault="003A73BB">
      <w:pPr>
        <w:ind w:firstLine="835"/>
        <w:jc w:val="center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Respectful</w:t>
      </w:r>
    </w:p>
    <w:p w:rsidR="007745E8" w:rsidRDefault="003A73BB">
      <w:pPr>
        <w:ind w:firstLine="835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All members manage themselves well and respect each other.</w:t>
      </w:r>
    </w:p>
    <w:p w:rsidR="007745E8" w:rsidRDefault="003A73BB">
      <w:pPr>
        <w:ind w:firstLine="835"/>
        <w:jc w:val="center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Reflective</w:t>
      </w:r>
    </w:p>
    <w:p w:rsidR="007745E8" w:rsidRDefault="003A73BB">
      <w:pPr>
        <w:ind w:firstLine="835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All members celebrate, support and help each other.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3652"/>
        <w:gridCol w:w="3667"/>
      </w:tblGrid>
      <w:tr w:rsidR="007745E8">
        <w:tc>
          <w:tcPr>
            <w:tcW w:w="1697" w:type="dxa"/>
          </w:tcPr>
          <w:p w:rsidR="007745E8" w:rsidRDefault="003A73BB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Scale: </w:t>
            </w:r>
          </w:p>
          <w:p w:rsidR="007745E8" w:rsidRDefault="003A73B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NJC 4</w:t>
            </w:r>
          </w:p>
        </w:tc>
        <w:tc>
          <w:tcPr>
            <w:tcW w:w="3652" w:type="dxa"/>
          </w:tcPr>
          <w:p w:rsidR="007745E8" w:rsidRDefault="003A73B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Hours worked per week: </w:t>
            </w:r>
          </w:p>
          <w:p w:rsidR="007745E8" w:rsidRDefault="003A73B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35</w:t>
            </w:r>
          </w:p>
          <w:p w:rsidR="007745E8" w:rsidRDefault="007745E8">
            <w:pPr>
              <w:ind w:firstLine="835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667" w:type="dxa"/>
          </w:tcPr>
          <w:p w:rsidR="007745E8" w:rsidRDefault="003A73BB">
            <w:pPr>
              <w:ind w:firstLine="83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Working Times:</w:t>
            </w:r>
          </w:p>
          <w:p w:rsidR="007745E8" w:rsidRDefault="003A73BB">
            <w:pPr>
              <w:ind w:firstLine="835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8.15am until 4.15pm </w:t>
            </w:r>
          </w:p>
          <w:p w:rsidR="007745E8" w:rsidRDefault="003A73BB">
            <w:pPr>
              <w:ind w:firstLine="83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 hour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lunch break)</w:t>
            </w:r>
          </w:p>
        </w:tc>
      </w:tr>
      <w:tr w:rsidR="007745E8">
        <w:tc>
          <w:tcPr>
            <w:tcW w:w="1697" w:type="dxa"/>
          </w:tcPr>
          <w:p w:rsidR="007745E8" w:rsidRDefault="003A73BB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Range:</w:t>
            </w:r>
          </w:p>
          <w:p w:rsidR="007745E8" w:rsidRDefault="007745E8">
            <w:pPr>
              <w:ind w:firstLine="835"/>
              <w:rPr>
                <w:rFonts w:ascii="Century Gothic" w:eastAsia="Century Gothic" w:hAnsi="Century Gothic" w:cs="Century Gothic"/>
              </w:rPr>
            </w:pPr>
          </w:p>
          <w:p w:rsidR="007745E8" w:rsidRPr="003A73BB" w:rsidRDefault="003A73BB" w:rsidP="003A73BB">
            <w:pPr>
              <w:ind w:firstLine="835"/>
              <w:jc w:val="center"/>
              <w:rPr>
                <w:rFonts w:ascii="Century Gothic" w:eastAsia="Century Gothic" w:hAnsi="Century Gothic" w:cs="Century Gothic"/>
              </w:rPr>
            </w:pPr>
            <w:r w:rsidRPr="003A73BB">
              <w:rPr>
                <w:rFonts w:ascii="Century Gothic" w:eastAsia="Century Gothic" w:hAnsi="Century Gothic" w:cs="Century Gothic"/>
              </w:rPr>
              <w:t>8-11</w:t>
            </w:r>
          </w:p>
          <w:p w:rsidR="007745E8" w:rsidRDefault="007745E8">
            <w:pPr>
              <w:ind w:firstLine="835"/>
              <w:rPr>
                <w:rFonts w:ascii="Century Gothic" w:eastAsia="Century Gothic" w:hAnsi="Century Gothic" w:cs="Century Gothic"/>
                <w:highlight w:val="yellow"/>
              </w:rPr>
            </w:pPr>
          </w:p>
        </w:tc>
        <w:tc>
          <w:tcPr>
            <w:tcW w:w="3652" w:type="dxa"/>
          </w:tcPr>
          <w:p w:rsidR="007745E8" w:rsidRDefault="003A73B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Weeks worked per year: </w:t>
            </w:r>
          </w:p>
          <w:p w:rsidR="007745E8" w:rsidRDefault="007745E8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7745E8" w:rsidRDefault="003A73BB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Term Time Only</w:t>
            </w:r>
          </w:p>
        </w:tc>
        <w:tc>
          <w:tcPr>
            <w:tcW w:w="3667" w:type="dxa"/>
          </w:tcPr>
          <w:p w:rsidR="007745E8" w:rsidRDefault="003A73BB">
            <w:pPr>
              <w:ind w:firstLine="83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Job description date:</w:t>
            </w:r>
          </w:p>
          <w:p w:rsidR="007745E8" w:rsidRDefault="007745E8">
            <w:pPr>
              <w:ind w:firstLine="835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:rsidR="007745E8" w:rsidRDefault="003A73BB">
            <w:pPr>
              <w:ind w:firstLine="83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July 2021</w:t>
            </w:r>
          </w:p>
        </w:tc>
      </w:tr>
    </w:tbl>
    <w:p w:rsidR="007745E8" w:rsidRDefault="007745E8">
      <w:pPr>
        <w:ind w:left="0" w:right="0"/>
        <w:rPr>
          <w:b/>
          <w:sz w:val="24"/>
          <w:szCs w:val="24"/>
        </w:rPr>
      </w:pPr>
    </w:p>
    <w:p w:rsidR="007745E8" w:rsidRDefault="003A73BB">
      <w:pPr>
        <w:keepNext/>
        <w:ind w:left="360" w:right="0"/>
        <w:jc w:val="center"/>
        <w:rPr>
          <w:rFonts w:ascii="Century Gothic" w:eastAsia="Century Gothic" w:hAnsi="Century Gothic" w:cs="Century Gothic"/>
          <w:i/>
          <w:sz w:val="22"/>
          <w:szCs w:val="22"/>
        </w:rPr>
      </w:pPr>
      <w:r>
        <w:rPr>
          <w:rFonts w:ascii="Century Gothic" w:eastAsia="Century Gothic" w:hAnsi="Century Gothic" w:cs="Century Gothic"/>
          <w:i/>
          <w:sz w:val="22"/>
          <w:szCs w:val="22"/>
        </w:rPr>
        <w:t xml:space="preserve">All appointments at Arts and Media school Islington are made in accordance </w:t>
      </w:r>
    </w:p>
    <w:p w:rsidR="007745E8" w:rsidRDefault="003A73BB">
      <w:pPr>
        <w:ind w:left="360" w:right="0"/>
        <w:jc w:val="center"/>
        <w:rPr>
          <w:rFonts w:ascii="Century Gothic" w:eastAsia="Century Gothic" w:hAnsi="Century Gothic" w:cs="Century Gothic"/>
          <w:i/>
          <w:sz w:val="22"/>
          <w:szCs w:val="22"/>
        </w:rPr>
      </w:pPr>
      <w:r>
        <w:rPr>
          <w:rFonts w:ascii="Century Gothic" w:eastAsia="Century Gothic" w:hAnsi="Century Gothic" w:cs="Century Gothic"/>
          <w:i/>
          <w:sz w:val="22"/>
          <w:szCs w:val="22"/>
        </w:rPr>
        <w:t>With the agreed School’s Equal Opportunities Employment Policy.</w:t>
      </w:r>
    </w:p>
    <w:p w:rsidR="007745E8" w:rsidRDefault="007745E8">
      <w:pPr>
        <w:ind w:left="360" w:right="0"/>
        <w:jc w:val="center"/>
        <w:rPr>
          <w:rFonts w:ascii="Century Gothic" w:eastAsia="Century Gothic" w:hAnsi="Century Gothic" w:cs="Century Gothic"/>
          <w:i/>
          <w:sz w:val="22"/>
          <w:szCs w:val="22"/>
        </w:rPr>
      </w:pPr>
    </w:p>
    <w:p w:rsidR="007745E8" w:rsidRDefault="003A73BB">
      <w:pPr>
        <w:keepNext/>
        <w:ind w:left="0" w:right="0"/>
        <w:jc w:val="center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2"/>
          <w:szCs w:val="22"/>
        </w:rPr>
        <w:t>All employees are expected to adhere to the agreed School Policies as set out in the Staff handbook</w:t>
      </w:r>
    </w:p>
    <w:p w:rsidR="007745E8" w:rsidRDefault="003A73BB">
      <w:pPr>
        <w:spacing w:line="360" w:lineRule="auto"/>
        <w:ind w:firstLine="835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_______________</w:t>
      </w:r>
      <w:r>
        <w:rPr>
          <w:rFonts w:ascii="Century Gothic" w:eastAsia="Century Gothic" w:hAnsi="Century Gothic" w:cs="Century Gothic"/>
          <w:b/>
          <w:sz w:val="22"/>
          <w:szCs w:val="22"/>
        </w:rPr>
        <w:t>___________________________________________________</w:t>
      </w:r>
      <w:bookmarkStart w:id="1" w:name="_GoBack"/>
      <w:bookmarkEnd w:id="1"/>
    </w:p>
    <w:p w:rsidR="007745E8" w:rsidRDefault="003A73BB">
      <w:pPr>
        <w:spacing w:line="360" w:lineRule="auto"/>
        <w:ind w:firstLine="835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Job Title: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Learning Support Assistant</w:t>
      </w:r>
    </w:p>
    <w:p w:rsidR="007745E8" w:rsidRDefault="003A73BB">
      <w:pPr>
        <w:spacing w:line="360" w:lineRule="auto"/>
        <w:ind w:firstLine="835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Responsible to: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 SENCO</w:t>
      </w:r>
    </w:p>
    <w:p w:rsidR="007745E8" w:rsidRDefault="003A73BB">
      <w:pPr>
        <w:spacing w:line="360" w:lineRule="auto"/>
        <w:ind w:firstLine="835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Key Relationships/ Liaison with:  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All stakeholders </w:t>
      </w:r>
    </w:p>
    <w:p w:rsidR="007745E8" w:rsidRDefault="003A73BB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Responsible for: </w:t>
      </w:r>
    </w:p>
    <w:p w:rsidR="007745E8" w:rsidRDefault="003A73BB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-This post carries no line management responsibility </w:t>
      </w:r>
    </w:p>
    <w:p w:rsidR="007745E8" w:rsidRDefault="007745E8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7745E8" w:rsidRDefault="003A73BB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Purpose of the post: </w:t>
      </w:r>
    </w:p>
    <w:p w:rsidR="007745E8" w:rsidRDefault="003A73BB">
      <w:pPr>
        <w:ind w:left="0" w:right="0"/>
        <w:jc w:val="both"/>
        <w:rPr>
          <w:rFonts w:ascii="Century Gothic" w:eastAsia="Century Gothic" w:hAnsi="Century Gothic" w:cs="Century Gothic"/>
          <w:b/>
          <w:sz w:val="48"/>
          <w:szCs w:val="48"/>
        </w:rPr>
      </w:pPr>
      <w:r>
        <w:rPr>
          <w:rFonts w:ascii="Century Gothic" w:eastAsia="Century Gothic" w:hAnsi="Century Gothic" w:cs="Century Gothic"/>
          <w:color w:val="000000"/>
        </w:rPr>
        <w:t>To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work under the guidance of the SENCO/teaching/senior staff to promote positive outcomes for pupils by taking responsibility for agreed learning activities and general </w:t>
      </w:r>
      <w:r>
        <w:rPr>
          <w:rFonts w:ascii="Century Gothic" w:eastAsia="Century Gothic" w:hAnsi="Century Gothic" w:cs="Century Gothic"/>
        </w:rPr>
        <w:t>administrative</w:t>
      </w:r>
      <w:r>
        <w:rPr>
          <w:rFonts w:ascii="Century Gothic" w:eastAsia="Century Gothic" w:hAnsi="Century Gothic" w:cs="Century Gothic"/>
          <w:color w:val="000000"/>
        </w:rPr>
        <w:t xml:space="preserve"> responsibilities within the department. This may involve planning, preparing and delivering learning activities for individuals/groups</w:t>
      </w:r>
      <w:r>
        <w:rPr>
          <w:rFonts w:ascii="Century Gothic" w:eastAsia="Century Gothic" w:hAnsi="Century Gothic" w:cs="Century Gothic"/>
        </w:rPr>
        <w:t xml:space="preserve">. </w:t>
      </w:r>
      <w:r>
        <w:rPr>
          <w:rFonts w:ascii="Century Gothic" w:eastAsia="Century Gothic" w:hAnsi="Century Gothic" w:cs="Century Gothic"/>
          <w:color w:val="000000"/>
        </w:rPr>
        <w:t>This will also include responsibility for the development of a specialist area within the school and to provide support</w:t>
      </w:r>
      <w:r>
        <w:rPr>
          <w:rFonts w:ascii="Century Gothic" w:eastAsia="Century Gothic" w:hAnsi="Century Gothic" w:cs="Century Gothic"/>
          <w:color w:val="000000"/>
        </w:rPr>
        <w:t xml:space="preserve"> for pupils, the teacher and the school in order to raise standards of achievement for all pupils, by utilising advanced levels of knowledge and skills in the area of </w:t>
      </w:r>
      <w:r>
        <w:rPr>
          <w:rFonts w:ascii="Century Gothic" w:eastAsia="Century Gothic" w:hAnsi="Century Gothic" w:cs="Century Gothic"/>
        </w:rPr>
        <w:t>SEND</w:t>
      </w:r>
      <w:r>
        <w:rPr>
          <w:rFonts w:ascii="Century Gothic" w:eastAsia="Century Gothic" w:hAnsi="Century Gothic" w:cs="Century Gothic"/>
          <w:color w:val="000000"/>
        </w:rPr>
        <w:t xml:space="preserve">, Literacy and Numeracy.  To encourage all pupils to become independent learners and </w:t>
      </w:r>
      <w:r>
        <w:rPr>
          <w:rFonts w:ascii="Century Gothic" w:eastAsia="Century Gothic" w:hAnsi="Century Gothic" w:cs="Century Gothic"/>
          <w:color w:val="000000"/>
        </w:rPr>
        <w:t>to provide support for pupils’ welfare.</w:t>
      </w:r>
    </w:p>
    <w:p w:rsidR="007745E8" w:rsidRDefault="007745E8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:rsidR="007745E8" w:rsidRDefault="007745E8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:rsidR="007745E8" w:rsidRDefault="007745E8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:rsidR="007745E8" w:rsidRDefault="003A73BB">
      <w:pPr>
        <w:ind w:left="0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Specific responsibilities for all teaching assistants:</w:t>
      </w:r>
    </w:p>
    <w:p w:rsidR="007745E8" w:rsidRDefault="007745E8">
      <w:pPr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16" w:type="dxa"/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5052"/>
      </w:tblGrid>
      <w:tr w:rsidR="007745E8">
        <w:trPr>
          <w:trHeight w:val="6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7745E8" w:rsidRDefault="003A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0" w:hanging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Relevant</w:t>
            </w:r>
          </w:p>
          <w:p w:rsidR="007745E8" w:rsidRDefault="003A7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0" w:hanging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Standards</w:t>
            </w:r>
          </w:p>
          <w:p w:rsidR="007745E8" w:rsidRDefault="007745E8">
            <w:pPr>
              <w:ind w:left="0" w:right="-20" w:hanging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5E8" w:rsidRDefault="003A73BB">
            <w:pPr>
              <w:ind w:left="0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LSA</w:t>
            </w:r>
          </w:p>
        </w:tc>
      </w:tr>
      <w:tr w:rsidR="007745E8">
        <w:trPr>
          <w:trHeight w:val="20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PROFESSIONAL</w:t>
            </w:r>
          </w:p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PRACTICE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45E8" w:rsidRDefault="007745E8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7745E8">
            <w:pPr>
              <w:spacing w:before="1"/>
              <w:ind w:left="0" w:right="-20" w:hanging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5E8">
        <w:trPr>
          <w:trHeight w:val="72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774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45E8" w:rsidRDefault="003A73BB">
            <w:pPr>
              <w:spacing w:before="3" w:after="200"/>
              <w:ind w:left="0" w:right="0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(1.5), (2.1), (2.3), (2.4), (3.1), (3.2), (3.3), (3.4), (3.5), (3.6), (4.5), (4.6)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132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Many aspects of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support over time are </w:t>
            </w:r>
            <w:r>
              <w:rPr>
                <w:rFonts w:ascii="Calibri" w:eastAsia="Calibri" w:hAnsi="Calibri" w:cs="Calibri"/>
              </w:rPr>
              <w:t>outstanding</w:t>
            </w:r>
          </w:p>
        </w:tc>
      </w:tr>
      <w:tr w:rsidR="007745E8">
        <w:trPr>
          <w:trHeight w:val="6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PROFESSIONAL</w:t>
            </w:r>
          </w:p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OUTCOMES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45E8" w:rsidRDefault="003A73BB">
            <w:pPr>
              <w:spacing w:before="2" w:after="200"/>
              <w:ind w:left="0" w:right="0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(1.5), (2.2), (2.4), (3.1), (3.4), (3.5), (4.1), (4.5)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0" w:right="-20"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Significant numbers of pupils demonstrate an engagement with learning and achieve progress which exceeds school expectations</w:t>
            </w:r>
          </w:p>
        </w:tc>
      </w:tr>
      <w:tr w:rsidR="007745E8">
        <w:trPr>
          <w:trHeight w:val="9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PROFESSIONAL</w:t>
            </w:r>
          </w:p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RELATIONSHIPS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45E8" w:rsidRDefault="003A73BB">
            <w:pPr>
              <w:spacing w:after="200"/>
              <w:ind w:left="0" w:right="0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(1.2), (1.4), (1.5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),  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2.4), (4.1), (4.2), (4.3), (4.4), (4.5)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0" w:right="-20"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Working relationships with colleagues are characterised by an enthusiastic commitment to helping them overcome professional challenges</w:t>
            </w:r>
          </w:p>
        </w:tc>
      </w:tr>
      <w:tr w:rsidR="007745E8">
        <w:trPr>
          <w:trHeight w:val="6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PROFESSIONAL</w:t>
            </w:r>
          </w:p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DEVELOPMENT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45E8" w:rsidRDefault="003A73BB">
            <w:pPr>
              <w:ind w:left="142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(1.5), (2.1), (2.3), (4.3), (4.4), (4.5)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Proactively </w:t>
            </w:r>
            <w:r>
              <w:rPr>
                <w:rFonts w:ascii="Calibri" w:eastAsia="Calibri" w:hAnsi="Calibri" w:cs="Calibri"/>
              </w:rPr>
              <w:t>support</w:t>
            </w:r>
            <w:r>
              <w:rPr>
                <w:rFonts w:ascii="Calibri" w:eastAsia="Calibri" w:hAnsi="Calibri" w:cs="Calibri"/>
                <w:color w:val="000000"/>
              </w:rPr>
              <w:t xml:space="preserve"> the professional development of others in a way which leads to improved outcomes for pupils</w:t>
            </w:r>
          </w:p>
        </w:tc>
      </w:tr>
      <w:tr w:rsidR="007745E8">
        <w:trPr>
          <w:trHeight w:val="12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PROFESSIONAL</w:t>
            </w:r>
          </w:p>
          <w:p w:rsidR="007745E8" w:rsidRDefault="003A73BB">
            <w:pPr>
              <w:spacing w:before="36"/>
              <w:ind w:left="0" w:right="-2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CONDUCT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745E8" w:rsidRDefault="003A73BB">
            <w:pPr>
              <w:spacing w:after="200"/>
              <w:ind w:left="0" w:right="0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(1.1), (1.3), (1.4), (3.2), (3.6), (4.4)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745E8" w:rsidRDefault="003A73BB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Professional conduct meets the expectations set out within the Teaching Assistant Standards and positively influences others everyday practice.</w:t>
            </w:r>
          </w:p>
        </w:tc>
      </w:tr>
    </w:tbl>
    <w:p w:rsidR="007745E8" w:rsidRDefault="007745E8">
      <w:pPr>
        <w:ind w:left="0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7745E8" w:rsidRDefault="007745E8">
      <w:pPr>
        <w:ind w:left="0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7745E8" w:rsidRDefault="003A73BB">
      <w:pPr>
        <w:ind w:left="0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Specific Responsibilities – to ensure positive outcomes for pupils across all areas.</w:t>
      </w:r>
    </w:p>
    <w:p w:rsidR="007745E8" w:rsidRDefault="007745E8">
      <w:pPr>
        <w:ind w:left="0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7745E8" w:rsidRDefault="007745E8">
      <w:pPr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16" w:type="dxa"/>
        <w:tblLayout w:type="fixed"/>
        <w:tblLook w:val="0400" w:firstRow="0" w:lastRow="0" w:firstColumn="0" w:lastColumn="0" w:noHBand="0" w:noVBand="1"/>
      </w:tblPr>
      <w:tblGrid>
        <w:gridCol w:w="1570"/>
        <w:gridCol w:w="7446"/>
      </w:tblGrid>
      <w:tr w:rsidR="007745E8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Specific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Responsibilities  -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to ensure positive outcomes for pupils across all areas of the school:</w:t>
            </w:r>
          </w:p>
        </w:tc>
      </w:tr>
      <w:tr w:rsidR="007745E8">
        <w:trPr>
          <w:trHeight w:val="112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ind w:left="0" w:right="113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Support for Pupils 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numPr>
                <w:ilvl w:val="0"/>
                <w:numId w:val="1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Use specialist skills/knowledge/experience to assess areas of need and promote the development/use of strategies to support pupil’s lea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rning and development.</w:t>
            </w:r>
          </w:p>
          <w:p w:rsidR="007745E8" w:rsidRDefault="003A73BB">
            <w:pPr>
              <w:numPr>
                <w:ilvl w:val="0"/>
                <w:numId w:val="1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Take a lead role in the development and implementation of Pupil Profiles, and Keyworker log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7745E8" w:rsidRDefault="003A73BB">
            <w:pPr>
              <w:numPr>
                <w:ilvl w:val="0"/>
                <w:numId w:val="1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and lead intervention strategies to improve specific skills for targeted pupils related to their needs as appropriate (e.g. Literacy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Numeracy, etc.).</w:t>
            </w:r>
          </w:p>
          <w:p w:rsidR="007745E8" w:rsidRDefault="003A73BB">
            <w:pPr>
              <w:numPr>
                <w:ilvl w:val="0"/>
                <w:numId w:val="1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Establish productive working relationships with pupils, acting as a role model and setting high expectations.</w:t>
            </w:r>
          </w:p>
          <w:p w:rsidR="007745E8" w:rsidRDefault="003A73BB">
            <w:pPr>
              <w:numPr>
                <w:ilvl w:val="0"/>
                <w:numId w:val="1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Promote the inclusion and acceptance of all pupils both within and outside the classroom.</w:t>
            </w:r>
          </w:p>
          <w:p w:rsidR="007745E8" w:rsidRDefault="003A73BB">
            <w:pPr>
              <w:numPr>
                <w:ilvl w:val="0"/>
                <w:numId w:val="1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Encourage pupils to interact and work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cooperatively with others and engage all pupils in activities.</w:t>
            </w:r>
          </w:p>
          <w:p w:rsidR="007745E8" w:rsidRDefault="003A73BB">
            <w:pPr>
              <w:numPr>
                <w:ilvl w:val="0"/>
                <w:numId w:val="1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Promote independence and employ strategies to recognise and reward achievement of self-reliance.</w:t>
            </w:r>
          </w:p>
          <w:p w:rsidR="007745E8" w:rsidRDefault="003A73BB">
            <w:pPr>
              <w:numPr>
                <w:ilvl w:val="0"/>
                <w:numId w:val="1"/>
              </w:numPr>
              <w:ind w:left="360" w:right="0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Provide feedback to pupils in relation to progress and achievement.</w:t>
            </w:r>
          </w:p>
          <w:p w:rsidR="007745E8" w:rsidRDefault="003A73BB">
            <w:pPr>
              <w:numPr>
                <w:ilvl w:val="0"/>
                <w:numId w:val="1"/>
              </w:numPr>
              <w:ind w:left="360" w:right="0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Liaise with parents and rel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evant external agencies to ensure best practice for targeted pupils.</w:t>
            </w:r>
          </w:p>
        </w:tc>
      </w:tr>
      <w:tr w:rsidR="007745E8">
        <w:trPr>
          <w:trHeight w:val="112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ind w:left="0" w:right="113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Support for Teaching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Organise and manage an appropriate learning environment using specialist knowledge and strategies relating to targeted pupils.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Within an agreed system of supervision, provide 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fferentiated resources and eva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luate and adjust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tasks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as appropriate.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Monitor and evaluate pupils’ responses to learning activities through a range of assessment and monitoring strategies against predetermin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 learning objectives.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Undertake marking of pupils’ work and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provide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feedback 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Assist with the recording of achievement/progress in lessons/activities and take responsibility for keeping and updating records as agreed with the teacher.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Provide objective 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 accurate feedback and reports as required on pupil achievement, progress and other matters, ensuring the availability of appropriate evidence.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Use behaviour management strategies, in line with the school’s policy and procedures, to contribute to a purpo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seful learning environment and encourage pupils to interact and work cooperatively with others.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Work within the school’s established behaviour policy to anticipate and manage behaviour constructively, promoting self-control and independence.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Support the role of parents in pupils’ learning and contribute to/lead meetings with parents to provide constructive feedback on pupil progress/achievement etc.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Promote positive values, attitudes and good pupil behaviour, dealing promptly with conflict and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incidents in line with established policy and encourage pupils to take responsibility for their own behaviour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Administer and assess routine tests including support with invigilation and provision of Exam Access arrangements for examinations/tests.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Provide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general clerical/admin support e.g. update Pupil Profiles, produce worksheets for agreed activities, etc.</w:t>
            </w:r>
          </w:p>
          <w:p w:rsidR="007745E8" w:rsidRDefault="003A73BB">
            <w:pPr>
              <w:numPr>
                <w:ilvl w:val="0"/>
                <w:numId w:val="2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Assist the class teacher in encouraging acceptance and integration of children with special needs, or from different cultures and/or with a different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first language.</w:t>
            </w:r>
          </w:p>
        </w:tc>
      </w:tr>
      <w:tr w:rsidR="007745E8">
        <w:trPr>
          <w:trHeight w:val="140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ind w:left="0" w:right="113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Support for the Curriculum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numPr>
                <w:ilvl w:val="0"/>
                <w:numId w:val="3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Plan, prepare and deliver learning activities to individuals/groups as well as associated monitoring /assessment/recording processes.</w:t>
            </w:r>
          </w:p>
          <w:p w:rsidR="007745E8" w:rsidRDefault="003A73BB">
            <w:pPr>
              <w:numPr>
                <w:ilvl w:val="0"/>
                <w:numId w:val="3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Select and prepare resources necessary to lead learning activities, taking account of pupils’ interests and language and cultural backgrounds.</w:t>
            </w:r>
          </w:p>
          <w:p w:rsidR="007745E8" w:rsidRDefault="003A73BB">
            <w:pPr>
              <w:numPr>
                <w:ilvl w:val="0"/>
                <w:numId w:val="3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Implement local and national learning strategies e.g. literacy, numeracy, KS3, and make effective use of opportun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ities provided by other learning activities to support the development of relevant skills.</w:t>
            </w:r>
          </w:p>
          <w:p w:rsidR="007745E8" w:rsidRDefault="003A73BB">
            <w:pPr>
              <w:numPr>
                <w:ilvl w:val="0"/>
                <w:numId w:val="3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Support the use of IT in learning activities and develop pupils’ competence and independence in its use.</w:t>
            </w:r>
          </w:p>
          <w:p w:rsidR="007745E8" w:rsidRDefault="003A73BB">
            <w:pPr>
              <w:numPr>
                <w:ilvl w:val="0"/>
                <w:numId w:val="3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Ensure targeted pupils are able to access the schemes of lea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rning across the range of curriculum areas and support other teaching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assistants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with preparing appropriately differentiated resources.</w:t>
            </w:r>
          </w:p>
          <w:p w:rsidR="007745E8" w:rsidRDefault="003A73BB">
            <w:pPr>
              <w:numPr>
                <w:ilvl w:val="0"/>
                <w:numId w:val="3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Advise on appropriate deployment and use of specialist aid/resources/equipment.</w:t>
            </w:r>
          </w:p>
          <w:p w:rsidR="007745E8" w:rsidRDefault="003A73BB">
            <w:pPr>
              <w:numPr>
                <w:ilvl w:val="0"/>
                <w:numId w:val="3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Help pupils to access learning activitie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 through specialist support and by running small group interventions before, during or after school</w:t>
            </w:r>
          </w:p>
          <w:p w:rsidR="007745E8" w:rsidRDefault="003A73BB">
            <w:pPr>
              <w:numPr>
                <w:ilvl w:val="0"/>
                <w:numId w:val="3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Determine the need for, prepare and maintain general and specialist equipment and resources as required.</w:t>
            </w:r>
          </w:p>
        </w:tc>
      </w:tr>
      <w:tr w:rsidR="007745E8">
        <w:trPr>
          <w:trHeight w:val="3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ind w:left="0" w:right="113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Support for the School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Proactively support the im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plementation of school policies and procedures relating to safeguarding, health, safety and security, confidentiality and data protection, reporting all concerns to an appropriate person.</w:t>
            </w:r>
          </w:p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Be aware of and support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differences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and ensure all pupils have equal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access to opportunities to learn and develop to be the best they can be.</w:t>
            </w:r>
          </w:p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Contribute to the overall ethos/work/aims of the school.</w:t>
            </w:r>
          </w:p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Establish constructive relationships and communicate with other agencies/professionals, in order to support the achievement/p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rogress of pupils.</w:t>
            </w:r>
          </w:p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Attend and participate in relevant meetings, training and performance appraisal processes as required.</w:t>
            </w:r>
          </w:p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Recognise your own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strengths and areas of expertise and use these to advise and support others.</w:t>
            </w:r>
          </w:p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Provide appropriate guidance and supervision and assist in training and development of staff as appropriate.</w:t>
            </w:r>
          </w:p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Plan, deliver and evaluate agreed extra-curricular activities for a range of pupils.  </w:t>
            </w:r>
          </w:p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Assist with the delivery of and supervision of pupils on vis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its, trips and other out of school activities as required.</w:t>
            </w:r>
          </w:p>
          <w:p w:rsidR="007745E8" w:rsidRDefault="003A73BB">
            <w:pPr>
              <w:numPr>
                <w:ilvl w:val="0"/>
                <w:numId w:val="4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Promote and reinforce pupils’ self-esteem and independence and employ strategies to recognise and reward achievement of self-reliance.</w:t>
            </w:r>
          </w:p>
        </w:tc>
      </w:tr>
      <w:tr w:rsidR="007745E8">
        <w:trPr>
          <w:trHeight w:val="112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ind w:left="0" w:right="113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numPr>
                <w:ilvl w:val="0"/>
                <w:numId w:val="5"/>
              </w:numPr>
              <w:spacing w:after="200"/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Actively participate in a planned cycle of line managem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ent.</w:t>
            </w:r>
          </w:p>
          <w:p w:rsidR="007745E8" w:rsidRDefault="003A73BB">
            <w:pPr>
              <w:numPr>
                <w:ilvl w:val="0"/>
                <w:numId w:val="5"/>
              </w:numPr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Effectively contribute to induction/appraisal/training/mentoring for other teaching assistants.</w:t>
            </w:r>
          </w:p>
          <w:p w:rsidR="007745E8" w:rsidRDefault="003A73BB">
            <w:pPr>
              <w:numPr>
                <w:ilvl w:val="0"/>
                <w:numId w:val="5"/>
              </w:numPr>
              <w:spacing w:after="200"/>
              <w:ind w:left="360" w:right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Effectively complete all other duties which the Headteacher may request.</w:t>
            </w:r>
          </w:p>
        </w:tc>
      </w:tr>
      <w:tr w:rsidR="007745E8">
        <w:trPr>
          <w:trHeight w:val="90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5E8" w:rsidRDefault="003A73B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i/>
                <w:color w:val="000000"/>
                <w:sz w:val="22"/>
                <w:szCs w:val="22"/>
              </w:rPr>
              <w:t>This job description will be reviewed annually and may be subject to amendment or modification at any time after consultation with the post holder. It is not a comprehensive statement of procedures and tasks but sets out the main expectations of the school</w:t>
            </w:r>
            <w:r>
              <w:rPr>
                <w:rFonts w:ascii="Gill Sans" w:eastAsia="Gill Sans" w:hAnsi="Gill Sans" w:cs="Gill Sans"/>
                <w:i/>
                <w:color w:val="000000"/>
                <w:sz w:val="22"/>
                <w:szCs w:val="22"/>
              </w:rPr>
              <w:t xml:space="preserve"> in relation to the post holder’s professional responsibilities and duties. </w:t>
            </w:r>
          </w:p>
        </w:tc>
      </w:tr>
    </w:tbl>
    <w:p w:rsidR="007745E8" w:rsidRDefault="007745E8">
      <w:pPr>
        <w:ind w:left="0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bookmarkStart w:id="2" w:name="_30j0zll" w:colFirst="0" w:colLast="0"/>
      <w:bookmarkEnd w:id="2"/>
    </w:p>
    <w:sectPr w:rsidR="007745E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97052"/>
    <w:multiLevelType w:val="multilevel"/>
    <w:tmpl w:val="B0183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CC81F21"/>
    <w:multiLevelType w:val="multilevel"/>
    <w:tmpl w:val="E2E8A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4B30164"/>
    <w:multiLevelType w:val="multilevel"/>
    <w:tmpl w:val="2564E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FC056AA"/>
    <w:multiLevelType w:val="multilevel"/>
    <w:tmpl w:val="0CC06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1C6064B"/>
    <w:multiLevelType w:val="multilevel"/>
    <w:tmpl w:val="5D143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E8"/>
    <w:rsid w:val="003A73BB"/>
    <w:rsid w:val="007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6AA4"/>
  <w15:docId w15:val="{A8CF9E52-DD2F-4253-A571-C592C1D7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ind w:left="835" w:right="83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left="0" w:right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2</cp:revision>
  <dcterms:created xsi:type="dcterms:W3CDTF">2021-07-02T07:11:00Z</dcterms:created>
  <dcterms:modified xsi:type="dcterms:W3CDTF">2021-07-02T07:11:00Z</dcterms:modified>
</cp:coreProperties>
</file>