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PT Sans" w:cs="PT Sans" w:eastAsia="PT Sans" w:hAnsi="PT Sans"/>
          <w:sz w:val="22"/>
          <w:szCs w:val="22"/>
          <w:u w:val="single"/>
        </w:rPr>
      </w:pPr>
      <w:bookmarkStart w:colFirst="0" w:colLast="0" w:name="_heading=h.gjdgxs" w:id="0"/>
      <w:bookmarkEnd w:id="0"/>
      <w:r w:rsidDel="00000000" w:rsidR="00000000" w:rsidRPr="00000000">
        <w:rPr>
          <w:rFonts w:ascii="PT Sans" w:cs="PT Sans" w:eastAsia="PT Sans" w:hAnsi="PT Sans"/>
          <w:sz w:val="22"/>
          <w:szCs w:val="22"/>
          <w:u w:val="single"/>
          <w:rtl w:val="0"/>
        </w:rPr>
        <w:t xml:space="preserve">Academies Enterprise Trust</w:t>
      </w:r>
    </w:p>
    <w:p w:rsidR="00000000" w:rsidDel="00000000" w:rsidP="00000000" w:rsidRDefault="00000000" w:rsidRPr="00000000" w14:paraId="00000002">
      <w:pPr>
        <w:rPr>
          <w:rFonts w:ascii="PT Sans" w:cs="PT Sans" w:eastAsia="PT Sans" w:hAnsi="PT Sans"/>
          <w:sz w:val="22"/>
          <w:szCs w:val="22"/>
          <w:u w:val="single"/>
        </w:rPr>
      </w:pPr>
      <w:r w:rsidDel="00000000" w:rsidR="00000000" w:rsidRPr="00000000">
        <w:rPr>
          <w:rtl w:val="0"/>
        </w:rPr>
      </w:r>
    </w:p>
    <w:p w:rsidR="00000000" w:rsidDel="00000000" w:rsidP="00000000" w:rsidRDefault="00000000" w:rsidRPr="00000000" w14:paraId="00000003">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5">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 Head of Design Technology &amp; Engineering</w:t>
        <w:tab/>
      </w:r>
      <w:r w:rsidDel="00000000" w:rsidR="00000000" w:rsidRPr="00000000">
        <w:rPr>
          <w:rtl w:val="0"/>
        </w:rPr>
      </w:r>
    </w:p>
    <w:p w:rsidR="00000000" w:rsidDel="00000000" w:rsidP="00000000" w:rsidRDefault="00000000" w:rsidRPr="00000000" w14:paraId="00000006">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7">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 Firth Park Academy</w:t>
        <w:tab/>
      </w:r>
    </w:p>
    <w:p w:rsidR="00000000" w:rsidDel="00000000" w:rsidP="00000000" w:rsidRDefault="00000000" w:rsidRPr="00000000" w14:paraId="00000008">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9">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w:t>
        <w:tab/>
        <w:t xml:space="preserve"> As Directed by Principal</w:t>
      </w:r>
      <w:r w:rsidDel="00000000" w:rsidR="00000000" w:rsidRPr="00000000">
        <w:rPr>
          <w:rtl w:val="0"/>
        </w:rPr>
      </w:r>
    </w:p>
    <w:p w:rsidR="00000000" w:rsidDel="00000000" w:rsidP="00000000" w:rsidRDefault="00000000" w:rsidRPr="00000000" w14:paraId="0000000A">
      <w:pPr>
        <w:rPr>
          <w:rFonts w:ascii="PT Sans" w:cs="PT Sans" w:eastAsia="PT Sans" w:hAnsi="PT Sans"/>
          <w:b w:val="1"/>
          <w:sz w:val="22"/>
          <w:szCs w:val="22"/>
        </w:rPr>
      </w:pPr>
      <w:bookmarkStart w:colFirst="0" w:colLast="0" w:name="_heading=h.1fob9te" w:id="1"/>
      <w:bookmarkEnd w:id="1"/>
      <w:r w:rsidDel="00000000" w:rsidR="00000000" w:rsidRPr="00000000">
        <w:rPr>
          <w:rtl w:val="0"/>
        </w:rPr>
      </w:r>
    </w:p>
    <w:p w:rsidR="00000000" w:rsidDel="00000000" w:rsidP="00000000" w:rsidRDefault="00000000" w:rsidRPr="00000000" w14:paraId="0000000B">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Reports to: Director of Learning</w:t>
        <w:tab/>
        <w:tab/>
      </w:r>
      <w:r w:rsidDel="00000000" w:rsidR="00000000" w:rsidRPr="00000000">
        <w:rPr>
          <w:rtl w:val="0"/>
        </w:rPr>
      </w:r>
    </w:p>
    <w:p w:rsidR="00000000" w:rsidDel="00000000" w:rsidP="00000000" w:rsidRDefault="00000000" w:rsidRPr="00000000" w14:paraId="0000000C">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PT Sans" w:cs="PT Sans" w:eastAsia="PT Sans" w:hAnsi="PT Sans"/>
          <w:color w:val="000000"/>
          <w:sz w:val="22"/>
          <w:szCs w:val="22"/>
        </w:rPr>
      </w:pPr>
      <w:r w:rsidDel="00000000" w:rsidR="00000000" w:rsidRPr="00000000">
        <w:rPr>
          <w:rFonts w:ascii="PT Sans" w:cs="PT Sans" w:eastAsia="PT Sans" w:hAnsi="PT Sans"/>
          <w:b w:val="1"/>
          <w:color w:val="000000"/>
          <w:sz w:val="22"/>
          <w:szCs w:val="22"/>
          <w:u w:val="single"/>
          <w:rtl w:val="0"/>
        </w:rPr>
        <w:t xml:space="preserve">Purpose of the Role:</w:t>
      </w:r>
      <w:r w:rsidDel="00000000" w:rsidR="00000000" w:rsidRPr="00000000">
        <w:rPr>
          <w:rFonts w:ascii="PT Sans" w:cs="PT Sans" w:eastAsia="PT Sans" w:hAnsi="PT Sans"/>
          <w:color w:val="000000"/>
          <w:sz w:val="22"/>
          <w:szCs w:val="22"/>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PT Sans" w:cs="PT Sans" w:eastAsia="PT Sans" w:hAnsi="PT Sans"/>
          <w:color w:val="000000"/>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PT Sans" w:cs="PT Sans" w:eastAsia="PT Sans" w:hAnsi="PT Sans"/>
          <w:color w:val="000000"/>
          <w:sz w:val="22"/>
          <w:szCs w:val="22"/>
        </w:rPr>
      </w:pPr>
      <w:r w:rsidDel="00000000" w:rsidR="00000000" w:rsidRPr="00000000">
        <w:rPr>
          <w:rFonts w:ascii="PT Sans" w:cs="PT Sans" w:eastAsia="PT Sans" w:hAnsi="PT Sans"/>
          <w:color w:val="000000"/>
          <w:sz w:val="22"/>
          <w:szCs w:val="22"/>
          <w:rtl w:val="0"/>
        </w:rPr>
        <w:t xml:space="preserve">General professional duties of all teachers are specified in the Conditions of Employment  </w:t>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PT Sans" w:cs="PT Sans" w:eastAsia="PT Sans" w:hAnsi="PT Sans"/>
          <w:color w:val="000000"/>
          <w:sz w:val="22"/>
          <w:szCs w:val="22"/>
        </w:rPr>
      </w:pPr>
      <w:r w:rsidDel="00000000" w:rsidR="00000000" w:rsidRPr="00000000">
        <w:rPr>
          <w:rFonts w:ascii="PT Sans" w:cs="PT Sans" w:eastAsia="PT Sans" w:hAnsi="PT Sans"/>
          <w:color w:val="000000"/>
          <w:sz w:val="22"/>
          <w:szCs w:val="22"/>
          <w:rtl w:val="0"/>
        </w:rPr>
        <w:t xml:space="preserve">Head of Department for the Engineering Department.</w:t>
      </w:r>
    </w:p>
    <w:p w:rsidR="00000000" w:rsidDel="00000000" w:rsidP="00000000" w:rsidRDefault="00000000" w:rsidRPr="00000000" w14:paraId="0000001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2">
      <w:pPr>
        <w:rPr>
          <w:rFonts w:ascii="PT Sans" w:cs="PT Sans" w:eastAsia="PT Sans" w:hAnsi="PT Sans"/>
          <w:b w:val="1"/>
          <w:sz w:val="22"/>
          <w:szCs w:val="22"/>
        </w:rPr>
      </w:pPr>
      <w:r w:rsidDel="00000000" w:rsidR="00000000" w:rsidRPr="00000000">
        <w:rPr>
          <w:rFonts w:ascii="PT Sans" w:cs="PT Sans" w:eastAsia="PT Sans" w:hAnsi="PT Sans"/>
          <w:b w:val="1"/>
          <w:sz w:val="22"/>
          <w:szCs w:val="22"/>
          <w:u w:val="single"/>
          <w:rtl w:val="0"/>
        </w:rPr>
        <w:t xml:space="preserve">Responsibilities:</w:t>
      </w:r>
      <w:r w:rsidDel="00000000" w:rsidR="00000000" w:rsidRPr="00000000">
        <w:rPr>
          <w:rFonts w:ascii="PT Sans" w:cs="PT Sans" w:eastAsia="PT Sans" w:hAnsi="PT Sans"/>
          <w:b w:val="1"/>
          <w:sz w:val="22"/>
          <w:szCs w:val="22"/>
          <w:rtl w:val="0"/>
        </w:rPr>
        <w:t xml:space="preserve"> </w:t>
      </w:r>
    </w:p>
    <w:p w:rsidR="00000000" w:rsidDel="00000000" w:rsidP="00000000" w:rsidRDefault="00000000" w:rsidRPr="00000000" w14:paraId="00000013">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14">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Particular Duties:</w:t>
      </w:r>
    </w:p>
    <w:p w:rsidR="00000000" w:rsidDel="00000000" w:rsidP="00000000" w:rsidRDefault="00000000" w:rsidRPr="00000000" w14:paraId="00000015">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6">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 Head of Department is responsible for:</w:t>
      </w:r>
    </w:p>
    <w:p w:rsidR="00000000" w:rsidDel="00000000" w:rsidP="00000000" w:rsidRDefault="00000000" w:rsidRPr="00000000" w14:paraId="00000017">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8">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Their own Professional Development</w:t>
      </w:r>
    </w:p>
    <w:p w:rsidR="00000000" w:rsidDel="00000000" w:rsidP="00000000" w:rsidRDefault="00000000" w:rsidRPr="00000000" w14:paraId="00000019">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keeping up to date with research and developments in pedagogy and in any subjects taught, raising, when appropriate, issues with VP Curriculum.</w:t>
      </w:r>
    </w:p>
    <w:p w:rsidR="00000000" w:rsidDel="00000000" w:rsidP="00000000" w:rsidRDefault="00000000" w:rsidRPr="00000000" w14:paraId="0000001A">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evaluating their own teaching critically and use this to improve their effectiveness</w:t>
      </w:r>
    </w:p>
    <w:p w:rsidR="00000000" w:rsidDel="00000000" w:rsidP="00000000" w:rsidRDefault="00000000" w:rsidRPr="00000000" w14:paraId="0000001B">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building up a thorough understanding of their professional responsibilities in relation to school policies and practices</w:t>
      </w:r>
    </w:p>
    <w:p w:rsidR="00000000" w:rsidDel="00000000" w:rsidP="00000000" w:rsidRDefault="00000000" w:rsidRPr="00000000" w14:paraId="0000001C">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setting  a good example to the pupils they teach in their presentation and their personal conduct</w:t>
      </w:r>
    </w:p>
    <w:p w:rsidR="00000000" w:rsidDel="00000000" w:rsidP="00000000" w:rsidRDefault="00000000" w:rsidRPr="00000000" w14:paraId="0000001D">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participating in Performance Management arrangements</w:t>
      </w:r>
    </w:p>
    <w:p w:rsidR="00000000" w:rsidDel="00000000" w:rsidP="00000000" w:rsidRDefault="00000000" w:rsidRPr="00000000" w14:paraId="0000001E">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1F">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Teaching and Managing Pupil Learning</w:t>
      </w:r>
    </w:p>
    <w:p w:rsidR="00000000" w:rsidDel="00000000" w:rsidP="00000000" w:rsidRDefault="00000000" w:rsidRPr="00000000" w14:paraId="00000020">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identifying clear teaching objectives, content, lesson structures and sequences appropriate to the subject matter and the pupils being taught. </w:t>
      </w:r>
    </w:p>
    <w:p w:rsidR="00000000" w:rsidDel="00000000" w:rsidP="00000000" w:rsidRDefault="00000000" w:rsidRPr="00000000" w14:paraId="00000021">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setting appropriate and demanding expectations for pupils’ learning and motivation. </w:t>
      </w:r>
    </w:p>
    <w:p w:rsidR="00000000" w:rsidDel="00000000" w:rsidP="00000000" w:rsidRDefault="00000000" w:rsidRPr="00000000" w14:paraId="00000022">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setting clear targets for pupils' learning, building on prior attainment and considering each pupil as an individual.</w:t>
      </w:r>
    </w:p>
    <w:p w:rsidR="00000000" w:rsidDel="00000000" w:rsidP="00000000" w:rsidRDefault="00000000" w:rsidRPr="00000000" w14:paraId="00000023">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using IEPs to identify pupils who have special educational needs, and </w:t>
      </w:r>
    </w:p>
    <w:p w:rsidR="00000000" w:rsidDel="00000000" w:rsidP="00000000" w:rsidRDefault="00000000" w:rsidRPr="00000000" w14:paraId="00000024">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effective teaching of whole classes, groups and individuals so that teaching objectives are met, momentum and challenge are maintained, and best use is made of teaching time. </w:t>
      </w:r>
    </w:p>
    <w:p w:rsidR="00000000" w:rsidDel="00000000" w:rsidP="00000000" w:rsidRDefault="00000000" w:rsidRPr="00000000" w14:paraId="00000025">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using teaching methods which keep pupils engaged, including stimulating pupils’ intellectual curiosity, effective questioning and response, clear presentation and good use of resources. </w:t>
      </w:r>
    </w:p>
    <w:p w:rsidR="00000000" w:rsidDel="00000000" w:rsidP="00000000" w:rsidRDefault="00000000" w:rsidRPr="00000000" w14:paraId="00000026">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setting high expectations for pupils' behaviour, establishing and maintaining a good standard of discipline through well-focused teaching and through positive and productive relationships.</w:t>
      </w:r>
    </w:p>
    <w:p w:rsidR="00000000" w:rsidDel="00000000" w:rsidP="00000000" w:rsidRDefault="00000000" w:rsidRPr="00000000" w14:paraId="00000027">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that pupils are thoroughly prepared for their examinations and that any examination coursework is completed and marked according to examination board and departmental criteria.</w:t>
      </w:r>
    </w:p>
    <w:p w:rsidR="00000000" w:rsidDel="00000000" w:rsidP="00000000" w:rsidRDefault="00000000" w:rsidRPr="00000000" w14:paraId="00000028">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liaising effectively with support staff working within Department.</w:t>
      </w:r>
    </w:p>
    <w:p w:rsidR="00000000" w:rsidDel="00000000" w:rsidP="00000000" w:rsidRDefault="00000000" w:rsidRPr="00000000" w14:paraId="00000029">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providing extra-curricular activities to extend and challenge pupils for at least two after school sessions per week each of forty-five minutes.</w:t>
      </w:r>
    </w:p>
    <w:p w:rsidR="00000000" w:rsidDel="00000000" w:rsidP="00000000" w:rsidRDefault="00000000" w:rsidRPr="00000000" w14:paraId="0000002A">
      <w:pPr>
        <w:ind w:left="72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B">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2C">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Monitoring and Assessing Pupil Progress </w:t>
      </w:r>
    </w:p>
    <w:p w:rsidR="00000000" w:rsidDel="00000000" w:rsidP="00000000" w:rsidRDefault="00000000" w:rsidRPr="00000000" w14:paraId="0000002D">
      <w:pPr>
        <w:numPr>
          <w:ilvl w:val="0"/>
          <w:numId w:val="10"/>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marking and monitoring pupils’ class and homework providing constructive oral and written feedback, setting targets for pupils’ progress. </w:t>
      </w:r>
    </w:p>
    <w:p w:rsidR="00000000" w:rsidDel="00000000" w:rsidP="00000000" w:rsidRDefault="00000000" w:rsidRPr="00000000" w14:paraId="0000002E">
      <w:pPr>
        <w:numPr>
          <w:ilvl w:val="0"/>
          <w:numId w:val="10"/>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assessing how well learning objectives have been achieved and use this assessment for future teaching.</w:t>
      </w:r>
    </w:p>
    <w:p w:rsidR="00000000" w:rsidDel="00000000" w:rsidP="00000000" w:rsidRDefault="00000000" w:rsidRPr="00000000" w14:paraId="0000002F">
      <w:pPr>
        <w:numPr>
          <w:ilvl w:val="0"/>
          <w:numId w:val="10"/>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maintaining full records of attendance, homework, National Curriculum Attainments, and examinations for pupils taught, including members of your tutor group.</w:t>
      </w:r>
    </w:p>
    <w:p w:rsidR="00000000" w:rsidDel="00000000" w:rsidP="00000000" w:rsidRDefault="00000000" w:rsidRPr="00000000" w14:paraId="00000030">
      <w:pPr>
        <w:numPr>
          <w:ilvl w:val="0"/>
          <w:numId w:val="10"/>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producing and analysing teaching group examination predictions and results as requested by the Head of Department and the VP Teaching and Learning.</w:t>
      </w:r>
    </w:p>
    <w:p w:rsidR="00000000" w:rsidDel="00000000" w:rsidP="00000000" w:rsidRDefault="00000000" w:rsidRPr="00000000" w14:paraId="00000031">
      <w:pPr>
        <w:numPr>
          <w:ilvl w:val="0"/>
          <w:numId w:val="10"/>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participating in departmental discussions of pupil targets and progress and of the development of strategies to meet departmental target.</w:t>
      </w:r>
    </w:p>
    <w:p w:rsidR="00000000" w:rsidDel="00000000" w:rsidP="00000000" w:rsidRDefault="00000000" w:rsidRPr="00000000" w14:paraId="00000032">
      <w:pPr>
        <w:numPr>
          <w:ilvl w:val="0"/>
          <w:numId w:val="10"/>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overseeing the pastoral needs of all pupils taught and passing on any concerns to the appropriate member of staff. </w:t>
      </w:r>
    </w:p>
    <w:p w:rsidR="00000000" w:rsidDel="00000000" w:rsidP="00000000" w:rsidRDefault="00000000" w:rsidRPr="00000000" w14:paraId="00000033">
      <w:pPr>
        <w:numPr>
          <w:ilvl w:val="0"/>
          <w:numId w:val="10"/>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mentoring and negotiating individual targets for tutees.</w:t>
      </w:r>
    </w:p>
    <w:p w:rsidR="00000000" w:rsidDel="00000000" w:rsidP="00000000" w:rsidRDefault="00000000" w:rsidRPr="00000000" w14:paraId="00000034">
      <w:pPr>
        <w:ind w:left="72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5">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Resources within the Department </w:t>
      </w:r>
    </w:p>
    <w:p w:rsidR="00000000" w:rsidDel="00000000" w:rsidP="00000000" w:rsidRDefault="00000000" w:rsidRPr="00000000" w14:paraId="00000036">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selecting and making good use of learning resources to enable teaching objectives to be met.</w:t>
      </w:r>
    </w:p>
    <w:p w:rsidR="00000000" w:rsidDel="00000000" w:rsidP="00000000" w:rsidRDefault="00000000" w:rsidRPr="00000000" w14:paraId="00000037">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that stock and equipment is well cared for and economically used.</w:t>
      </w:r>
    </w:p>
    <w:p w:rsidR="00000000" w:rsidDel="00000000" w:rsidP="00000000" w:rsidRDefault="00000000" w:rsidRPr="00000000" w14:paraId="00000038">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that departmental rooms present a stimulating and tidy environment.</w:t>
      </w:r>
    </w:p>
    <w:p w:rsidR="00000000" w:rsidDel="00000000" w:rsidP="00000000" w:rsidRDefault="00000000" w:rsidRPr="00000000" w14:paraId="00000039">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implementing the Academy Health and Safety Policy.</w:t>
      </w:r>
    </w:p>
    <w:p w:rsidR="00000000" w:rsidDel="00000000" w:rsidP="00000000" w:rsidRDefault="00000000" w:rsidRPr="00000000" w14:paraId="0000003A">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that Health and Safety policies and practices, for your subject including Risk Assessments, throughout your lessons are in-line with national requirements.</w:t>
      </w:r>
    </w:p>
    <w:p w:rsidR="00000000" w:rsidDel="00000000" w:rsidP="00000000" w:rsidRDefault="00000000" w:rsidRPr="00000000" w14:paraId="0000003B">
      <w:pPr>
        <w:ind w:left="72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C">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Communication with Parents</w:t>
      </w:r>
    </w:p>
    <w:p w:rsidR="00000000" w:rsidDel="00000000" w:rsidP="00000000" w:rsidRDefault="00000000" w:rsidRPr="00000000" w14:paraId="0000003D">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attending any appropriate meetings with parents.</w:t>
      </w:r>
    </w:p>
    <w:p w:rsidR="00000000" w:rsidDel="00000000" w:rsidP="00000000" w:rsidRDefault="00000000" w:rsidRPr="00000000" w14:paraId="0000003E">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providing informative reports to parents. </w:t>
      </w:r>
    </w:p>
    <w:p w:rsidR="00000000" w:rsidDel="00000000" w:rsidP="00000000" w:rsidRDefault="00000000" w:rsidRPr="00000000" w14:paraId="0000003F">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raising particular concerns regarding students with parents.</w:t>
      </w:r>
    </w:p>
    <w:p w:rsidR="00000000" w:rsidDel="00000000" w:rsidP="00000000" w:rsidRDefault="00000000" w:rsidRPr="00000000" w14:paraId="00000040">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1">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Internal Communication</w:t>
      </w:r>
    </w:p>
    <w:p w:rsidR="00000000" w:rsidDel="00000000" w:rsidP="00000000" w:rsidRDefault="00000000" w:rsidRPr="00000000" w14:paraId="00000042">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representing the views and interests of the Department to Director of Education.</w:t>
      </w:r>
    </w:p>
    <w:p w:rsidR="00000000" w:rsidDel="00000000" w:rsidP="00000000" w:rsidRDefault="00000000" w:rsidRPr="00000000" w14:paraId="00000043">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providing information required by HODs., HOY, SENCO or LG.</w:t>
      </w:r>
    </w:p>
    <w:p w:rsidR="00000000" w:rsidDel="00000000" w:rsidP="00000000" w:rsidRDefault="00000000" w:rsidRPr="00000000" w14:paraId="00000044">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actively participating in Departmental Meetings. </w:t>
      </w:r>
    </w:p>
    <w:p w:rsidR="00000000" w:rsidDel="00000000" w:rsidP="00000000" w:rsidRDefault="00000000" w:rsidRPr="00000000" w14:paraId="00000045">
      <w:pPr>
        <w:ind w:left="60"/>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46">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Staff Absence</w:t>
      </w:r>
    </w:p>
    <w:p w:rsidR="00000000" w:rsidDel="00000000" w:rsidP="00000000" w:rsidRDefault="00000000" w:rsidRPr="00000000" w14:paraId="00000047">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that appropriate work has been set and that the resources required are available.</w:t>
      </w:r>
    </w:p>
    <w:p w:rsidR="00000000" w:rsidDel="00000000" w:rsidP="00000000" w:rsidRDefault="00000000" w:rsidRPr="00000000" w14:paraId="00000048">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supporting supply staff who are working within the Department.</w:t>
      </w:r>
    </w:p>
    <w:p w:rsidR="00000000" w:rsidDel="00000000" w:rsidP="00000000" w:rsidRDefault="00000000" w:rsidRPr="00000000" w14:paraId="00000049">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A">
      <w:pPr>
        <w:pStyle w:val="Heading1"/>
        <w:jc w:val="left"/>
        <w:rPr>
          <w:rFonts w:ascii="PT Sans" w:cs="PT Sans" w:eastAsia="PT Sans" w:hAnsi="PT Sans"/>
          <w:color w:val="000000"/>
          <w:sz w:val="22"/>
          <w:szCs w:val="22"/>
        </w:rPr>
      </w:pPr>
      <w:r w:rsidDel="00000000" w:rsidR="00000000" w:rsidRPr="00000000">
        <w:rPr>
          <w:rFonts w:ascii="PT Sans" w:cs="PT Sans" w:eastAsia="PT Sans" w:hAnsi="PT Sans"/>
          <w:color w:val="000000"/>
          <w:sz w:val="22"/>
          <w:szCs w:val="22"/>
          <w:rtl w:val="0"/>
        </w:rPr>
        <w:t xml:space="preserve">Additional Specific Responsibilities</w:t>
      </w:r>
    </w:p>
    <w:p w:rsidR="00000000" w:rsidDel="00000000" w:rsidP="00000000" w:rsidRDefault="00000000" w:rsidRPr="00000000" w14:paraId="0000004B">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as negotiated with the DOL or HOY in the interests of the pupils and of the CPD of the member of staff. </w:t>
      </w:r>
    </w:p>
    <w:p w:rsidR="00000000" w:rsidDel="00000000" w:rsidP="00000000" w:rsidRDefault="00000000" w:rsidRPr="00000000" w14:paraId="0000004C">
      <w:pPr>
        <w:ind w:left="72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D">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 clauses:</w:t>
      </w:r>
    </w:p>
    <w:p w:rsidR="00000000" w:rsidDel="00000000" w:rsidP="00000000" w:rsidRDefault="00000000" w:rsidRPr="00000000" w14:paraId="0000004E">
      <w:pPr>
        <w:spacing w:line="276" w:lineRule="auto"/>
        <w:ind w:left="860" w:hanging="360"/>
        <w:rPr>
          <w:rFonts w:ascii="PT Sans" w:cs="PT Sans" w:eastAsia="PT Sans" w:hAnsi="PT Sans"/>
          <w:b w:val="1"/>
          <w:color w:val="222222"/>
          <w:sz w:val="22"/>
          <w:szCs w:val="22"/>
          <w:highlight w:val="white"/>
        </w:rPr>
      </w:pPr>
      <w:r w:rsidDel="00000000" w:rsidR="00000000" w:rsidRPr="00000000">
        <w:rPr>
          <w:rFonts w:ascii="PT Sans" w:cs="PT Sans" w:eastAsia="PT Sans" w:hAnsi="PT Sans"/>
          <w:color w:val="222222"/>
          <w:sz w:val="22"/>
          <w:szCs w:val="22"/>
          <w:rtl w:val="0"/>
        </w:rPr>
        <w:t xml:space="preserve">1.    The above responsibilities are subject to the general duties and responsibilities contained in the Teachers’ Pay and Conditions. </w:t>
      </w:r>
      <w:r w:rsidDel="00000000" w:rsidR="00000000" w:rsidRPr="00000000">
        <w:rPr>
          <w:rtl w:val="0"/>
        </w:rPr>
      </w:r>
    </w:p>
    <w:p w:rsidR="00000000" w:rsidDel="00000000" w:rsidP="00000000" w:rsidRDefault="00000000" w:rsidRPr="00000000" w14:paraId="0000004F">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50">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51">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52">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3">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6.    Postholder may deal with sensitive material and should maintain confidentiality in all academy related matters.</w:t>
      </w:r>
    </w:p>
    <w:p w:rsidR="00000000" w:rsidDel="00000000" w:rsidP="00000000" w:rsidRDefault="00000000" w:rsidRPr="00000000" w14:paraId="00000054">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w:t>
      </w:r>
    </w:p>
    <w:p w:rsidR="00000000" w:rsidDel="00000000" w:rsidP="00000000" w:rsidRDefault="00000000" w:rsidRPr="00000000" w14:paraId="00000055">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56">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 </w:t>
      </w:r>
    </w:p>
    <w:p w:rsidR="00000000" w:rsidDel="00000000" w:rsidP="00000000" w:rsidRDefault="00000000" w:rsidRPr="00000000" w14:paraId="00000057">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5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9">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Employee value proposition:</w:t>
      </w:r>
    </w:p>
    <w:p w:rsidR="00000000" w:rsidDel="00000000" w:rsidP="00000000" w:rsidRDefault="00000000" w:rsidRPr="00000000" w14:paraId="0000005A">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5B">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5C">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5D">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Our values: </w:t>
      </w:r>
    </w:p>
    <w:p w:rsidR="00000000" w:rsidDel="00000000" w:rsidP="00000000" w:rsidRDefault="00000000" w:rsidRPr="00000000" w14:paraId="0000005E">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5F">
      <w:pPr>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60">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61">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62">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63">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64">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6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9">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B">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9">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B">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8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8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8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8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8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8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8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8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8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89">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8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8B">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8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8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8E">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8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90">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Head of Design Technology &amp; Engineering</w:t>
      </w:r>
    </w:p>
    <w:p w:rsidR="00000000" w:rsidDel="00000000" w:rsidP="00000000" w:rsidRDefault="00000000" w:rsidRPr="00000000" w14:paraId="00000091">
      <w:pPr>
        <w:rPr>
          <w:rFonts w:ascii="PT Sans" w:cs="PT Sans" w:eastAsia="PT Sans" w:hAnsi="PT Sans"/>
          <w:sz w:val="22"/>
          <w:szCs w:val="22"/>
        </w:rPr>
      </w:pPr>
      <w:r w:rsidDel="00000000" w:rsidR="00000000" w:rsidRPr="00000000">
        <w:rPr>
          <w:rtl w:val="0"/>
        </w:rPr>
      </w:r>
    </w:p>
    <w:tbl>
      <w:tblPr>
        <w:tblStyle w:val="Table1"/>
        <w:tblW w:w="10767.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690"/>
        <w:gridCol w:w="2115"/>
        <w:tblGridChange w:id="0">
          <w:tblGrid>
            <w:gridCol w:w="2922"/>
            <w:gridCol w:w="2040"/>
            <w:gridCol w:w="3690"/>
            <w:gridCol w:w="2115"/>
          </w:tblGrid>
        </w:tblGridChange>
      </w:tblGrid>
      <w:tr>
        <w:tc>
          <w:tcPr/>
          <w:p w:rsidR="00000000" w:rsidDel="00000000" w:rsidP="00000000" w:rsidRDefault="00000000" w:rsidRPr="00000000" w14:paraId="00000092">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93">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94">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95">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c>
          <w:tcPr/>
          <w:p w:rsidR="00000000" w:rsidDel="00000000" w:rsidP="00000000" w:rsidRDefault="00000000" w:rsidRPr="00000000" w14:paraId="00000096">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p>
        </w:tc>
        <w:tc>
          <w:tcPr/>
          <w:p w:rsidR="00000000" w:rsidDel="00000000" w:rsidP="00000000" w:rsidRDefault="00000000" w:rsidRPr="00000000" w14:paraId="00000097">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p w:rsidR="00000000" w:rsidDel="00000000" w:rsidP="00000000" w:rsidRDefault="00000000" w:rsidRPr="00000000" w14:paraId="00000098">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QTS</w:t>
            </w:r>
          </w:p>
        </w:tc>
        <w:tc>
          <w:tcPr/>
          <w:p w:rsidR="00000000" w:rsidDel="00000000" w:rsidP="00000000" w:rsidRDefault="00000000" w:rsidRPr="00000000" w14:paraId="00000099">
            <w:pPr>
              <w:numPr>
                <w:ilvl w:val="0"/>
                <w:numId w:val="6"/>
              </w:num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9A">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p>
        </w:tc>
        <w:tc>
          <w:tcPr/>
          <w:p w:rsidR="00000000" w:rsidDel="00000000" w:rsidP="00000000" w:rsidRDefault="00000000" w:rsidRPr="00000000" w14:paraId="0000009B">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9C">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p w:rsidR="00000000" w:rsidDel="00000000" w:rsidP="00000000" w:rsidRDefault="00000000" w:rsidRPr="00000000" w14:paraId="0000009D">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Teaching Experience</w:t>
            </w:r>
          </w:p>
        </w:tc>
        <w:tc>
          <w:tcPr/>
          <w:p w:rsidR="00000000" w:rsidDel="00000000" w:rsidP="00000000" w:rsidRDefault="00000000" w:rsidRPr="00000000" w14:paraId="0000009E">
            <w:pPr>
              <w:numPr>
                <w:ilvl w:val="0"/>
                <w:numId w:val="6"/>
              </w:numPr>
              <w:ind w:left="720" w:hanging="360"/>
              <w:rPr>
                <w:rFonts w:ascii="PT Sans" w:cs="PT Sans" w:eastAsia="PT Sans" w:hAnsi="PT Sans"/>
                <w:sz w:val="22"/>
                <w:szCs w:val="22"/>
              </w:rPr>
            </w:pPr>
            <w:r w:rsidDel="00000000" w:rsidR="00000000" w:rsidRPr="00000000">
              <w:rPr>
                <w:rtl w:val="0"/>
              </w:rPr>
            </w:r>
          </w:p>
        </w:tc>
      </w:tr>
      <w:tr>
        <w:tc>
          <w:tcPr>
            <w:vMerge w:val="restart"/>
          </w:tcPr>
          <w:p w:rsidR="00000000" w:rsidDel="00000000" w:rsidP="00000000" w:rsidRDefault="00000000" w:rsidRPr="00000000" w14:paraId="0000009F">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Skills</w:t>
            </w:r>
          </w:p>
        </w:tc>
        <w:tc>
          <w:tcPr/>
          <w:p w:rsidR="00000000" w:rsidDel="00000000" w:rsidP="00000000" w:rsidRDefault="00000000" w:rsidRPr="00000000" w14:paraId="000000A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Line management responsibilities (No.)</w:t>
            </w:r>
          </w:p>
        </w:tc>
        <w:tc>
          <w:tcPr/>
          <w:p w:rsidR="00000000" w:rsidDel="00000000" w:rsidP="00000000" w:rsidRDefault="00000000" w:rsidRPr="00000000" w14:paraId="000000A1">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None</w:t>
            </w:r>
          </w:p>
        </w:tc>
        <w:tc>
          <w:tcPr/>
          <w:p w:rsidR="00000000" w:rsidDel="00000000" w:rsidP="00000000" w:rsidRDefault="00000000" w:rsidRPr="00000000" w14:paraId="000000A2">
            <w:pPr>
              <w:numPr>
                <w:ilvl w:val="0"/>
                <w:numId w:val="6"/>
              </w:numP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4">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Forward and strategic planning</w:t>
            </w:r>
          </w:p>
        </w:tc>
        <w:tc>
          <w:tcPr/>
          <w:p w:rsidR="00000000" w:rsidDel="00000000" w:rsidP="00000000" w:rsidRDefault="00000000" w:rsidRPr="00000000" w14:paraId="000000A5">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None</w:t>
            </w:r>
          </w:p>
        </w:tc>
        <w:tc>
          <w:tcPr/>
          <w:p w:rsidR="00000000" w:rsidDel="00000000" w:rsidP="00000000" w:rsidRDefault="00000000" w:rsidRPr="00000000" w14:paraId="000000A6">
            <w:pPr>
              <w:numPr>
                <w:ilvl w:val="0"/>
                <w:numId w:val="6"/>
              </w:numP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8">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Budget (size and responsibilities)</w:t>
            </w:r>
          </w:p>
        </w:tc>
        <w:tc>
          <w:tcPr/>
          <w:p w:rsidR="00000000" w:rsidDel="00000000" w:rsidP="00000000" w:rsidRDefault="00000000" w:rsidRPr="00000000" w14:paraId="000000A9">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None</w:t>
            </w:r>
          </w:p>
          <w:p w:rsidR="00000000" w:rsidDel="00000000" w:rsidP="00000000" w:rsidRDefault="00000000" w:rsidRPr="00000000" w14:paraId="000000AA">
            <w:pPr>
              <w:ind w:left="72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B">
            <w:pPr>
              <w:numPr>
                <w:ilvl w:val="0"/>
                <w:numId w:val="6"/>
              </w:numP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D">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Abilities</w:t>
            </w:r>
          </w:p>
        </w:tc>
        <w:tc>
          <w:tcPr/>
          <w:p w:rsidR="00000000" w:rsidDel="00000000" w:rsidP="00000000" w:rsidRDefault="00000000" w:rsidRPr="00000000" w14:paraId="000000AE">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F">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Qualified Teacher</w:t>
            </w:r>
          </w:p>
          <w:p w:rsidR="00000000" w:rsidDel="00000000" w:rsidP="00000000" w:rsidRDefault="00000000" w:rsidRPr="00000000" w14:paraId="000000B0">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B1">
            <w:pPr>
              <w:numPr>
                <w:ilvl w:val="0"/>
                <w:numId w:val="6"/>
              </w:num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B2">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Characteristics</w:t>
            </w:r>
          </w:p>
        </w:tc>
        <w:tc>
          <w:tcPr/>
          <w:p w:rsidR="00000000" w:rsidDel="00000000" w:rsidP="00000000" w:rsidRDefault="00000000" w:rsidRPr="00000000" w14:paraId="000000B3">
            <w:pPr>
              <w:rPr>
                <w:rFonts w:ascii="PT Sans" w:cs="PT Sans" w:eastAsia="PT Sans" w:hAnsi="PT Sans"/>
                <w:sz w:val="22"/>
                <w:szCs w:val="22"/>
              </w:rPr>
            </w:pPr>
            <w:bookmarkStart w:colFirst="0" w:colLast="0" w:name="_heading=h.30j0zll" w:id="2"/>
            <w:bookmarkEnd w:id="2"/>
            <w:r w:rsidDel="00000000" w:rsidR="00000000" w:rsidRPr="00000000">
              <w:rPr>
                <w:rFonts w:ascii="PT Sans" w:cs="PT Sans" w:eastAsia="PT Sans" w:hAnsi="PT Sans"/>
                <w:sz w:val="22"/>
                <w:szCs w:val="22"/>
                <w:rtl w:val="0"/>
              </w:rPr>
              <w:t xml:space="preserve">Behaviours</w:t>
            </w:r>
          </w:p>
        </w:tc>
        <w:tc>
          <w:tcPr/>
          <w:p w:rsidR="00000000" w:rsidDel="00000000" w:rsidP="00000000" w:rsidRDefault="00000000" w:rsidRPr="00000000" w14:paraId="000000B4">
            <w:pPr>
              <w:numPr>
                <w:ilvl w:val="0"/>
                <w:numId w:val="6"/>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Responsible and Enthusiastic</w:t>
            </w:r>
          </w:p>
          <w:p w:rsidR="00000000" w:rsidDel="00000000" w:rsidP="00000000" w:rsidRDefault="00000000" w:rsidRPr="00000000" w14:paraId="000000B5">
            <w:pPr>
              <w:ind w:left="72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B6">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B7">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B8">
            <w:pPr>
              <w:numPr>
                <w:ilvl w:val="0"/>
                <w:numId w:val="6"/>
              </w:numPr>
              <w:ind w:left="720" w:hanging="360"/>
              <w:rPr>
                <w:rFonts w:ascii="PT Sans" w:cs="PT Sans" w:eastAsia="PT Sans" w:hAnsi="PT Sans"/>
                <w:sz w:val="22"/>
                <w:szCs w:val="22"/>
              </w:rPr>
            </w:pPr>
            <w:r w:rsidDel="00000000" w:rsidR="00000000" w:rsidRPr="00000000">
              <w:rPr>
                <w:rtl w:val="0"/>
              </w:rPr>
            </w:r>
          </w:p>
        </w:tc>
      </w:tr>
      <w:tr>
        <w:tc>
          <w:tcPr>
            <w:shd w:fill="auto" w:val="clear"/>
          </w:tcPr>
          <w:p w:rsidR="00000000" w:rsidDel="00000000" w:rsidP="00000000" w:rsidRDefault="00000000" w:rsidRPr="00000000" w14:paraId="000000B9">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p>
        </w:tc>
        <w:tc>
          <w:tcPr/>
          <w:p w:rsidR="00000000" w:rsidDel="00000000" w:rsidP="00000000" w:rsidRDefault="00000000" w:rsidRPr="00000000" w14:paraId="000000BA">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BB">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0BC">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0BD">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0BE">
            <w:pPr>
              <w:numPr>
                <w:ilvl w:val="0"/>
                <w:numId w:val="6"/>
              </w:numPr>
              <w:ind w:left="720" w:hanging="360"/>
              <w:rPr>
                <w:rFonts w:ascii="PT Sans" w:cs="PT Sans" w:eastAsia="PT Sans" w:hAnsi="PT Sans"/>
                <w:sz w:val="22"/>
                <w:szCs w:val="22"/>
              </w:rPr>
            </w:pPr>
            <w:r w:rsidDel="00000000" w:rsidR="00000000" w:rsidRPr="00000000">
              <w:rPr>
                <w:rtl w:val="0"/>
              </w:rPr>
            </w:r>
          </w:p>
        </w:tc>
      </w:tr>
    </w:tbl>
    <w:p w:rsidR="00000000" w:rsidDel="00000000" w:rsidP="00000000" w:rsidRDefault="00000000" w:rsidRPr="00000000" w14:paraId="000000BF">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rPr>
          <w:rFonts w:ascii="PT Sans" w:cs="PT Sans" w:eastAsia="PT Sans" w:hAnsi="PT Sans"/>
          <w:sz w:val="22"/>
          <w:szCs w:val="22"/>
          <w:u w:val="single"/>
        </w:rPr>
      </w:pPr>
      <w:r w:rsidDel="00000000" w:rsidR="00000000" w:rsidRPr="00000000">
        <w:rPr>
          <w:rtl w:val="0"/>
        </w:rPr>
      </w:r>
    </w:p>
    <w:sectPr>
      <w:headerReference r:id="rId7" w:type="default"/>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tabs>
        <w:tab w:val="center" w:pos="4513"/>
        <w:tab w:val="right" w:pos="9026"/>
      </w:tabs>
      <w:jc w:val="center"/>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1638300</wp:posOffset>
          </wp:positionH>
          <wp:positionV relativeFrom="paragraph">
            <wp:posOffset>66675</wp:posOffset>
          </wp:positionV>
          <wp:extent cx="2233613" cy="1590675"/>
          <wp:effectExtent b="0" l="0" r="0" t="0"/>
          <wp:wrapTopAndBottom distB="0" distT="0"/>
          <wp:docPr id="9" name="image1.png"/>
          <a:graphic>
            <a:graphicData uri="http://schemas.openxmlformats.org/drawingml/2006/picture">
              <pic:pic>
                <pic:nvPicPr>
                  <pic:cNvPr id="0" name="image1.png"/>
                  <pic:cNvPicPr preferRelativeResize="0"/>
                </pic:nvPicPr>
                <pic:blipFill>
                  <a:blip r:embed="rId1"/>
                  <a:srcRect b="84275" l="44049" r="4301" t="-6312"/>
                  <a:stretch>
                    <a:fillRect/>
                  </a:stretch>
                </pic:blipFill>
                <pic:spPr>
                  <a:xfrm>
                    <a:off x="0" y="0"/>
                    <a:ext cx="2233613" cy="15906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120"/>
      <w:ind w:left="360" w:hanging="360"/>
      <w:jc w:val="both"/>
      <w:outlineLvl w:val="0"/>
    </w:pPr>
    <w:rPr>
      <w:b w:val="1"/>
      <w:color w:val="365f91"/>
      <w:sz w:val="28"/>
      <w:szCs w:val="28"/>
    </w:rPr>
  </w:style>
  <w:style w:type="paragraph" w:styleId="Heading2">
    <w:name w:val="heading 2"/>
    <w:basedOn w:val="Normal"/>
    <w:next w:val="Normal"/>
    <w:pPr>
      <w:keepNext w:val="1"/>
      <w:keepLines w:val="1"/>
      <w:tabs>
        <w:tab w:val="left" w:pos="709"/>
      </w:tabs>
      <w:spacing w:after="120" w:before="120"/>
      <w:ind w:left="426" w:hanging="225"/>
      <w:jc w:val="both"/>
      <w:outlineLvl w:val="1"/>
    </w:pPr>
    <w:rPr>
      <w:b w:val="1"/>
      <w:color w:val="4f81bd"/>
      <w:sz w:val="22"/>
      <w:szCs w:val="22"/>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15.0" w:type="dxa"/>
        <w:bottom w:w="0.0" w:type="dxa"/>
        <w:right w:w="115.0" w:type="dxa"/>
      </w:tblCellMar>
    </w:tblPr>
  </w:style>
  <w:style w:type="table" w:styleId="a0" w:customStyle="1">
    <w:basedOn w:val="TableNormal"/>
    <w:tblPr>
      <w:tblStyleRowBandSize w:val="1"/>
      <w:tblStyleColBandSize w:val="1"/>
      <w:tblInd w:w="0.0" w:type="dxa"/>
      <w:tblCellMar>
        <w:top w:w="0.0" w:type="dxa"/>
        <w:left w:w="115.0" w:type="dxa"/>
        <w:bottom w:w="0.0" w:type="dxa"/>
        <w:right w:w="115.0" w:type="dxa"/>
      </w:tblCellMar>
    </w:tblPr>
  </w:style>
  <w:style w:type="table" w:styleId="a1" w:customStyle="1">
    <w:basedOn w:val="TableNormal"/>
    <w:tblPr>
      <w:tblStyleRowBandSize w:val="1"/>
      <w:tblStyleColBandSize w:val="1"/>
      <w:tblInd w:w="0.0" w:type="dxa"/>
      <w:tblCellMar>
        <w:top w:w="0.0" w:type="dxa"/>
        <w:left w:w="115.0" w:type="dxa"/>
        <w:bottom w:w="0.0" w:type="dxa"/>
        <w:right w:w="115.0" w:type="dxa"/>
      </w:tblCellMar>
    </w:tblPr>
  </w:style>
  <w:style w:type="table" w:styleId="a2" w:customStyle="1">
    <w:basedOn w:val="TableNormal"/>
    <w:tblPr>
      <w:tblStyleRowBandSize w:val="1"/>
      <w:tblStyleColBandSize w:val="1"/>
      <w:tblInd w:w="0.0" w:type="dxa"/>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TA1KpNn6kl0uNdiPbNdgVrj03w==">AMUW2mXSzbHVviQVhvqOhvACysGZoOuvRFrZHF4ppjKVJiYuZSdAP+vw8kA/6LKmlvc3dhJofyKocdXEXKapQXrdCvijo2N1DTokKn50+ndiLs+6w0CF+BHqyOyTkgpJ5MkF7wM/GJl444O+D8m5H8gdX/mN7TcqNQ==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2019-10-30T11:15:00Z</dcterms:created>
  <dc:creator>Janice Young</dc:creator>
</cp:coreProperties>
</file>