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4" w:type="dxa"/>
        <w:shd w:val="clear" w:color="auto" w:fill="FFFFFF" w:themeFill="background1"/>
        <w:tblCellMar>
          <w:top w:w="28" w:type="dxa"/>
          <w:left w:w="85" w:type="dxa"/>
          <w:bottom w:w="28" w:type="dxa"/>
          <w:right w:w="85" w:type="dxa"/>
        </w:tblCellMar>
        <w:tblLook w:val="04A0" w:firstRow="1" w:lastRow="0" w:firstColumn="1" w:lastColumn="0" w:noHBand="0" w:noVBand="1"/>
      </w:tblPr>
      <w:tblGrid>
        <w:gridCol w:w="10456"/>
      </w:tblGrid>
      <w:tr w:rsidR="002B4542" w:rsidRPr="002B4542" w:rsidTr="004E136D">
        <w:trPr>
          <w:trHeight w:val="728"/>
          <w:tblCellSpacing w:w="14" w:type="dxa"/>
        </w:trPr>
        <w:tc>
          <w:tcPr>
            <w:tcW w:w="5000" w:type="pct"/>
            <w:tcBorders>
              <w:top w:val="single" w:sz="4" w:space="0" w:color="7183B2"/>
              <w:left w:val="single" w:sz="4" w:space="0" w:color="7183B2"/>
              <w:bottom w:val="single" w:sz="4" w:space="0" w:color="7183B2"/>
              <w:right w:val="single" w:sz="4" w:space="0" w:color="7183B2"/>
            </w:tcBorders>
            <w:shd w:val="clear" w:color="auto" w:fill="003E7E"/>
            <w:vAlign w:val="center"/>
          </w:tcPr>
          <w:p w:rsidR="002B4542" w:rsidRPr="002B4542" w:rsidRDefault="004F7D75" w:rsidP="00487B5E">
            <w:pPr>
              <w:rPr>
                <w:rFonts w:asciiTheme="minorHAnsi" w:hAnsiTheme="minorHAnsi"/>
                <w:b/>
                <w:color w:val="FFFFFF" w:themeColor="background1"/>
                <w:sz w:val="36"/>
                <w:szCs w:val="22"/>
              </w:rPr>
            </w:pPr>
            <w:r>
              <w:rPr>
                <w:rFonts w:asciiTheme="minorHAnsi" w:hAnsiTheme="minorHAnsi"/>
                <w:b/>
                <w:color w:val="FFFFFF" w:themeColor="background1"/>
                <w:sz w:val="36"/>
                <w:szCs w:val="22"/>
              </w:rPr>
              <w:t>Business</w:t>
            </w:r>
            <w:r w:rsidR="00176A06">
              <w:rPr>
                <w:rFonts w:asciiTheme="minorHAnsi" w:hAnsiTheme="minorHAnsi"/>
                <w:b/>
                <w:color w:val="FFFFFF" w:themeColor="background1"/>
                <w:sz w:val="36"/>
                <w:szCs w:val="22"/>
              </w:rPr>
              <w:t xml:space="preserve"> </w:t>
            </w:r>
            <w:r w:rsidR="002B4542" w:rsidRPr="002B4542">
              <w:rPr>
                <w:rFonts w:asciiTheme="minorHAnsi" w:hAnsiTheme="minorHAnsi"/>
                <w:b/>
                <w:color w:val="FFFFFF" w:themeColor="background1"/>
                <w:sz w:val="36"/>
                <w:szCs w:val="22"/>
              </w:rPr>
              <w:t>Department Description</w:t>
            </w:r>
          </w:p>
        </w:tc>
      </w:tr>
    </w:tbl>
    <w:p w:rsidR="002B4542" w:rsidRDefault="002B4542" w:rsidP="002B4542">
      <w:pPr>
        <w:rPr>
          <w:rFonts w:asciiTheme="minorHAnsi" w:hAnsiTheme="minorHAnsi"/>
          <w:sz w:val="12"/>
          <w:szCs w:val="22"/>
        </w:rPr>
      </w:pPr>
    </w:p>
    <w:p w:rsidR="009D0C47" w:rsidRPr="004E136D" w:rsidRDefault="009D0C47" w:rsidP="002B4542">
      <w:pPr>
        <w:rPr>
          <w:rFonts w:asciiTheme="minorHAnsi" w:hAnsiTheme="minorHAnsi"/>
          <w:sz w:val="12"/>
          <w:szCs w:val="22"/>
        </w:rPr>
      </w:pPr>
    </w:p>
    <w:tbl>
      <w:tblPr>
        <w:tblW w:w="0" w:type="auto"/>
        <w:tblCellSpacing w:w="14" w:type="dxa"/>
        <w:tblCellMar>
          <w:top w:w="28" w:type="dxa"/>
          <w:left w:w="85" w:type="dxa"/>
          <w:bottom w:w="28" w:type="dxa"/>
          <w:right w:w="85" w:type="dxa"/>
        </w:tblCellMar>
        <w:tblLook w:val="04A0" w:firstRow="1" w:lastRow="0" w:firstColumn="1" w:lastColumn="0" w:noHBand="0" w:noVBand="1"/>
      </w:tblPr>
      <w:tblGrid>
        <w:gridCol w:w="10456"/>
      </w:tblGrid>
      <w:tr w:rsidR="004E136D" w:rsidRPr="004E136D" w:rsidTr="004E136D">
        <w:trPr>
          <w:trHeight w:val="464"/>
          <w:tblCellSpacing w:w="14" w:type="dxa"/>
        </w:trPr>
        <w:tc>
          <w:tcPr>
            <w:tcW w:w="10636" w:type="dxa"/>
            <w:tcBorders>
              <w:top w:val="single" w:sz="4" w:space="0" w:color="7183B2"/>
              <w:left w:val="single" w:sz="4" w:space="0" w:color="7183B2"/>
              <w:bottom w:val="single" w:sz="4" w:space="0" w:color="7183B2"/>
              <w:right w:val="single" w:sz="4" w:space="0" w:color="7183B2"/>
            </w:tcBorders>
            <w:shd w:val="clear" w:color="auto" w:fill="3D5C96"/>
            <w:vAlign w:val="center"/>
          </w:tcPr>
          <w:p w:rsidR="004E136D" w:rsidRPr="004E136D" w:rsidRDefault="004E136D" w:rsidP="004E136D">
            <w:pPr>
              <w:rPr>
                <w:rFonts w:asciiTheme="minorHAnsi" w:hAnsiTheme="minorHAnsi" w:cstheme="minorHAnsi"/>
                <w:b/>
                <w:color w:val="FFFFFF" w:themeColor="background1"/>
                <w:sz w:val="22"/>
                <w:szCs w:val="22"/>
              </w:rPr>
            </w:pPr>
            <w:r w:rsidRPr="004E136D">
              <w:rPr>
                <w:rFonts w:asciiTheme="minorHAnsi" w:hAnsiTheme="minorHAnsi" w:cstheme="minorHAnsi"/>
                <w:b/>
                <w:color w:val="FFFFFF" w:themeColor="background1"/>
                <w:sz w:val="22"/>
                <w:szCs w:val="22"/>
              </w:rPr>
              <w:t>Information for Applicants</w:t>
            </w:r>
          </w:p>
        </w:tc>
      </w:tr>
      <w:tr w:rsidR="004E136D" w:rsidTr="008924D0">
        <w:trPr>
          <w:trHeight w:val="3382"/>
          <w:tblCellSpacing w:w="14" w:type="dxa"/>
        </w:trPr>
        <w:tc>
          <w:tcPr>
            <w:tcW w:w="10636" w:type="dxa"/>
            <w:tcBorders>
              <w:top w:val="single" w:sz="4" w:space="0" w:color="7183B2"/>
              <w:left w:val="single" w:sz="4" w:space="0" w:color="7183B2"/>
              <w:bottom w:val="single" w:sz="4" w:space="0" w:color="7183B2"/>
              <w:right w:val="single" w:sz="4" w:space="0" w:color="7183B2"/>
            </w:tcBorders>
            <w:shd w:val="clear" w:color="auto" w:fill="EDEFF6"/>
            <w:vAlign w:val="center"/>
          </w:tcPr>
          <w:p w:rsidR="00007094" w:rsidRDefault="00447615" w:rsidP="00007094">
            <w:pPr>
              <w:rPr>
                <w:color w:val="000000"/>
              </w:rPr>
            </w:pPr>
            <w:r>
              <w:rPr>
                <w:rFonts w:asciiTheme="minorHAnsi" w:hAnsiTheme="minorHAnsi"/>
                <w:sz w:val="22"/>
              </w:rPr>
              <w:t xml:space="preserve">Brooke Weston Academy is an innovative, nationally acclaimed educational establishment.  Our philosophy and approach is embedded in student-centred learning, underpinned by a structured framework of assessment that has differentiation and personalisation at its heart.  Opened in 1991, Brooke Weston Academy has consistently appeared in the top rank of state comprehensive schools.   </w:t>
            </w:r>
            <w:r w:rsidR="00007094" w:rsidRPr="00007094">
              <w:rPr>
                <w:rFonts w:asciiTheme="minorHAnsi" w:hAnsiTheme="minorHAnsi"/>
                <w:sz w:val="22"/>
              </w:rPr>
              <w:t>On average this year 89% in Year 11 achieved GCSEs graded A*-C (9-4) with 28% gaining A*/A (9-7) grades. 84% of students in year 11 achieved five or more GCSEs graded A*-C including maths and English (9-4). 51% of students achieved the English Baccalaureate with maths and English grades 9-5. In Year 13 students achieved 99% pass rate with 62% gaining A*/</w:t>
            </w:r>
            <w:proofErr w:type="gramStart"/>
            <w:r w:rsidR="00007094" w:rsidRPr="00007094">
              <w:rPr>
                <w:rFonts w:asciiTheme="minorHAnsi" w:hAnsiTheme="minorHAnsi"/>
                <w:sz w:val="22"/>
              </w:rPr>
              <w:t>A or</w:t>
            </w:r>
            <w:proofErr w:type="gramEnd"/>
            <w:r w:rsidR="00007094" w:rsidRPr="00007094">
              <w:rPr>
                <w:rFonts w:asciiTheme="minorHAnsi" w:hAnsiTheme="minorHAnsi"/>
                <w:sz w:val="22"/>
              </w:rPr>
              <w:t xml:space="preserve"> B grades.</w:t>
            </w:r>
          </w:p>
          <w:p w:rsidR="00447615" w:rsidRDefault="00447615" w:rsidP="00447615">
            <w:pPr>
              <w:rPr>
                <w:rFonts w:asciiTheme="minorHAnsi" w:hAnsiTheme="minorHAnsi"/>
                <w:sz w:val="22"/>
              </w:rPr>
            </w:pPr>
          </w:p>
          <w:p w:rsidR="004E136D" w:rsidRPr="009358E8" w:rsidRDefault="00447615" w:rsidP="00447615">
            <w:pPr>
              <w:rPr>
                <w:rFonts w:asciiTheme="minorHAnsi" w:hAnsiTheme="minorHAnsi"/>
                <w:sz w:val="22"/>
              </w:rPr>
            </w:pPr>
            <w:r>
              <w:rPr>
                <w:rFonts w:asciiTheme="minorHAnsi" w:hAnsiTheme="minorHAnsi"/>
                <w:sz w:val="22"/>
              </w:rPr>
              <w:t xml:space="preserve">Brooke Weston Academy has exceptionally high standards and works hard to preserve the ethos, which places the student at the heart of the learning experience. Our </w:t>
            </w:r>
            <w:proofErr w:type="spellStart"/>
            <w:r>
              <w:rPr>
                <w:rFonts w:asciiTheme="minorHAnsi" w:hAnsiTheme="minorHAnsi"/>
                <w:sz w:val="22"/>
              </w:rPr>
              <w:t>OfSTED</w:t>
            </w:r>
            <w:proofErr w:type="spellEnd"/>
            <w:r>
              <w:rPr>
                <w:rFonts w:asciiTheme="minorHAnsi" w:hAnsiTheme="minorHAnsi"/>
                <w:sz w:val="22"/>
              </w:rPr>
              <w:t xml:space="preserve"> report of January 2011 confirmed Brooke Weston Academy’s outstanding reputation and highlighted, amongst other aspects, the positive relationships between staff and students and the outstanding learning opportunities available.</w:t>
            </w:r>
          </w:p>
        </w:tc>
      </w:tr>
      <w:tr w:rsidR="004E136D" w:rsidRPr="004E136D" w:rsidTr="004E136D">
        <w:trPr>
          <w:trHeight w:val="415"/>
          <w:tblCellSpacing w:w="14" w:type="dxa"/>
        </w:trPr>
        <w:tc>
          <w:tcPr>
            <w:tcW w:w="10636" w:type="dxa"/>
            <w:tcBorders>
              <w:top w:val="single" w:sz="4" w:space="0" w:color="7183B2"/>
              <w:left w:val="single" w:sz="4" w:space="0" w:color="7183B2"/>
              <w:bottom w:val="single" w:sz="4" w:space="0" w:color="7183B2"/>
              <w:right w:val="single" w:sz="4" w:space="0" w:color="7183B2"/>
            </w:tcBorders>
            <w:shd w:val="clear" w:color="auto" w:fill="3D5C96"/>
            <w:vAlign w:val="center"/>
          </w:tcPr>
          <w:p w:rsidR="004E136D" w:rsidRPr="004E136D" w:rsidRDefault="004E136D" w:rsidP="004E136D">
            <w:pPr>
              <w:rPr>
                <w:rFonts w:asciiTheme="minorHAnsi" w:hAnsiTheme="minorHAnsi" w:cstheme="minorHAnsi"/>
                <w:b/>
                <w:color w:val="FFFFFF" w:themeColor="background1"/>
                <w:sz w:val="22"/>
                <w:szCs w:val="22"/>
              </w:rPr>
            </w:pPr>
            <w:r w:rsidRPr="004E136D">
              <w:rPr>
                <w:rFonts w:asciiTheme="minorHAnsi" w:hAnsiTheme="minorHAnsi" w:cstheme="minorHAnsi"/>
                <w:b/>
                <w:color w:val="FFFFFF" w:themeColor="background1"/>
                <w:sz w:val="22"/>
                <w:szCs w:val="22"/>
              </w:rPr>
              <w:t>The Department</w:t>
            </w:r>
            <w:r w:rsidR="004C13DA">
              <w:rPr>
                <w:rFonts w:asciiTheme="minorHAnsi" w:hAnsiTheme="minorHAnsi" w:cstheme="minorHAnsi"/>
                <w:b/>
                <w:color w:val="FFFFFF" w:themeColor="background1"/>
                <w:sz w:val="22"/>
                <w:szCs w:val="22"/>
              </w:rPr>
              <w:t>al Structure</w:t>
            </w:r>
          </w:p>
        </w:tc>
      </w:tr>
      <w:tr w:rsidR="004E136D" w:rsidTr="004F7D75">
        <w:trPr>
          <w:trHeight w:val="1781"/>
          <w:tblCellSpacing w:w="14" w:type="dxa"/>
        </w:trPr>
        <w:tc>
          <w:tcPr>
            <w:tcW w:w="10636" w:type="dxa"/>
            <w:tcBorders>
              <w:top w:val="single" w:sz="4" w:space="0" w:color="7183B2"/>
              <w:left w:val="single" w:sz="4" w:space="0" w:color="7183B2"/>
              <w:bottom w:val="single" w:sz="4" w:space="0" w:color="7183B2"/>
              <w:right w:val="single" w:sz="4" w:space="0" w:color="7183B2"/>
            </w:tcBorders>
            <w:shd w:val="clear" w:color="auto" w:fill="EDEFF6"/>
            <w:vAlign w:val="center"/>
          </w:tcPr>
          <w:p w:rsidR="004F7D75" w:rsidRPr="0062128E" w:rsidRDefault="00D831E3" w:rsidP="004F7D75">
            <w:pPr>
              <w:rPr>
                <w:rFonts w:asciiTheme="minorHAnsi" w:hAnsiTheme="minorHAnsi" w:cstheme="minorHAnsi"/>
                <w:sz w:val="22"/>
                <w:szCs w:val="22"/>
              </w:rPr>
            </w:pPr>
            <w:r>
              <w:rPr>
                <w:rFonts w:asciiTheme="minorHAnsi" w:hAnsiTheme="minorHAnsi" w:cstheme="minorHAnsi"/>
                <w:sz w:val="22"/>
                <w:szCs w:val="22"/>
              </w:rPr>
              <w:t xml:space="preserve">The </w:t>
            </w:r>
            <w:r w:rsidR="004F7D75">
              <w:rPr>
                <w:rFonts w:asciiTheme="minorHAnsi" w:hAnsiTheme="minorHAnsi" w:cstheme="minorHAnsi"/>
                <w:sz w:val="22"/>
                <w:szCs w:val="22"/>
              </w:rPr>
              <w:t>Business</w:t>
            </w:r>
            <w:r w:rsidR="004F7D75" w:rsidRPr="0062128E">
              <w:rPr>
                <w:rFonts w:asciiTheme="minorHAnsi" w:hAnsiTheme="minorHAnsi" w:cstheme="minorHAnsi"/>
                <w:sz w:val="22"/>
                <w:szCs w:val="22"/>
              </w:rPr>
              <w:t xml:space="preserve"> depar</w:t>
            </w:r>
            <w:r w:rsidR="004F7D75">
              <w:rPr>
                <w:rFonts w:asciiTheme="minorHAnsi" w:hAnsiTheme="minorHAnsi" w:cstheme="minorHAnsi"/>
                <w:sz w:val="22"/>
                <w:szCs w:val="22"/>
              </w:rPr>
              <w:t xml:space="preserve">tment consists of a team of </w:t>
            </w:r>
            <w:r w:rsidR="004F7D75" w:rsidRPr="0062128E">
              <w:rPr>
                <w:rFonts w:asciiTheme="minorHAnsi" w:hAnsiTheme="minorHAnsi" w:cstheme="minorHAnsi"/>
                <w:sz w:val="22"/>
                <w:szCs w:val="22"/>
              </w:rPr>
              <w:t xml:space="preserve">teachers with </w:t>
            </w:r>
            <w:r w:rsidR="004F7D75">
              <w:rPr>
                <w:rFonts w:asciiTheme="minorHAnsi" w:hAnsiTheme="minorHAnsi" w:cstheme="minorHAnsi"/>
                <w:sz w:val="22"/>
                <w:szCs w:val="22"/>
              </w:rPr>
              <w:t xml:space="preserve">experience in both industry and education. </w:t>
            </w:r>
            <w:r>
              <w:rPr>
                <w:rFonts w:asciiTheme="minorHAnsi" w:hAnsiTheme="minorHAnsi" w:cstheme="minorHAnsi"/>
                <w:sz w:val="22"/>
                <w:szCs w:val="22"/>
              </w:rPr>
              <w:t xml:space="preserve"> The department has use of</w:t>
            </w:r>
            <w:r w:rsidR="004F7D75">
              <w:rPr>
                <w:rFonts w:asciiTheme="minorHAnsi" w:hAnsiTheme="minorHAnsi" w:cstheme="minorHAnsi"/>
                <w:sz w:val="22"/>
                <w:szCs w:val="22"/>
              </w:rPr>
              <w:t xml:space="preserve"> dedicated ICT suites equipped with Interactive White Boards with access to the Academy’s network.</w:t>
            </w:r>
          </w:p>
          <w:p w:rsidR="000C5C03" w:rsidRPr="006B006A" w:rsidRDefault="000C5C03" w:rsidP="000C5C03">
            <w:pPr>
              <w:rPr>
                <w:rFonts w:asciiTheme="minorHAnsi" w:hAnsiTheme="minorHAnsi" w:cstheme="minorHAnsi"/>
                <w:sz w:val="22"/>
                <w:szCs w:val="22"/>
              </w:rPr>
            </w:pPr>
          </w:p>
          <w:p w:rsidR="0037784F" w:rsidRPr="00005703" w:rsidRDefault="000C5C03" w:rsidP="000C5C03">
            <w:pPr>
              <w:pStyle w:val="BodyText2"/>
              <w:spacing w:line="240" w:lineRule="auto"/>
              <w:rPr>
                <w:rFonts w:ascii="Calibri" w:hAnsi="Calibri"/>
                <w:sz w:val="22"/>
                <w:szCs w:val="22"/>
              </w:rPr>
            </w:pPr>
            <w:r w:rsidRPr="006B006A">
              <w:rPr>
                <w:rFonts w:asciiTheme="minorHAnsi" w:hAnsiTheme="minorHAnsi" w:cstheme="minorHAnsi"/>
                <w:sz w:val="22"/>
                <w:szCs w:val="22"/>
              </w:rPr>
              <w:t>The department makes use of whole Academy facilities, which include a modern lecture seating up to 100 students, well-equipped library/resource centre, which also contains a large number of laptops for student use and a full sized theatre seating up to 500 students.</w:t>
            </w:r>
          </w:p>
        </w:tc>
      </w:tr>
      <w:tr w:rsidR="004E136D" w:rsidRPr="004E136D" w:rsidTr="004E136D">
        <w:trPr>
          <w:trHeight w:val="358"/>
          <w:tblCellSpacing w:w="14" w:type="dxa"/>
        </w:trPr>
        <w:tc>
          <w:tcPr>
            <w:tcW w:w="10636" w:type="dxa"/>
            <w:tcBorders>
              <w:top w:val="single" w:sz="4" w:space="0" w:color="7183B2"/>
              <w:left w:val="single" w:sz="4" w:space="0" w:color="7183B2"/>
              <w:bottom w:val="single" w:sz="4" w:space="0" w:color="7183B2"/>
              <w:right w:val="single" w:sz="4" w:space="0" w:color="7183B2"/>
            </w:tcBorders>
            <w:shd w:val="clear" w:color="auto" w:fill="3D5C96"/>
            <w:vAlign w:val="center"/>
          </w:tcPr>
          <w:p w:rsidR="004E136D" w:rsidRPr="004E136D" w:rsidRDefault="003D7F97" w:rsidP="004E136D">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Teaching and Learning</w:t>
            </w:r>
          </w:p>
        </w:tc>
      </w:tr>
      <w:tr w:rsidR="004E136D" w:rsidTr="004F7D75">
        <w:trPr>
          <w:trHeight w:val="925"/>
          <w:tblCellSpacing w:w="14" w:type="dxa"/>
        </w:trPr>
        <w:tc>
          <w:tcPr>
            <w:tcW w:w="10636" w:type="dxa"/>
            <w:tcBorders>
              <w:top w:val="single" w:sz="4" w:space="0" w:color="7183B2"/>
              <w:left w:val="single" w:sz="4" w:space="0" w:color="7183B2"/>
              <w:bottom w:val="single" w:sz="4" w:space="0" w:color="7183B2"/>
              <w:right w:val="single" w:sz="4" w:space="0" w:color="7183B2"/>
            </w:tcBorders>
            <w:shd w:val="clear" w:color="auto" w:fill="EDEFF6"/>
            <w:vAlign w:val="center"/>
          </w:tcPr>
          <w:p w:rsidR="00005703" w:rsidRDefault="000C5C03" w:rsidP="00A41DAE">
            <w:pPr>
              <w:pStyle w:val="BodyText"/>
              <w:rPr>
                <w:rFonts w:asciiTheme="minorHAnsi" w:hAnsiTheme="minorHAnsi" w:cstheme="minorHAnsi"/>
                <w:b w:val="0"/>
                <w:sz w:val="22"/>
                <w:szCs w:val="22"/>
              </w:rPr>
            </w:pPr>
            <w:r>
              <w:rPr>
                <w:rFonts w:asciiTheme="minorHAnsi" w:hAnsiTheme="minorHAnsi" w:cstheme="minorHAnsi"/>
                <w:b w:val="0"/>
                <w:sz w:val="22"/>
                <w:szCs w:val="22"/>
              </w:rPr>
              <w:t>Our</w:t>
            </w:r>
            <w:r w:rsidRPr="0062128E">
              <w:rPr>
                <w:rFonts w:asciiTheme="minorHAnsi" w:hAnsiTheme="minorHAnsi" w:cstheme="minorHAnsi"/>
                <w:b w:val="0"/>
                <w:sz w:val="22"/>
                <w:szCs w:val="22"/>
              </w:rPr>
              <w:t xml:space="preserve"> students </w:t>
            </w:r>
            <w:r>
              <w:rPr>
                <w:rFonts w:asciiTheme="minorHAnsi" w:hAnsiTheme="minorHAnsi" w:cstheme="minorHAnsi"/>
                <w:b w:val="0"/>
                <w:sz w:val="22"/>
                <w:szCs w:val="22"/>
              </w:rPr>
              <w:t>are encouraged to become highly motivated,</w:t>
            </w:r>
            <w:r w:rsidRPr="0062128E">
              <w:rPr>
                <w:rFonts w:asciiTheme="minorHAnsi" w:hAnsiTheme="minorHAnsi" w:cstheme="minorHAnsi"/>
                <w:b w:val="0"/>
                <w:sz w:val="22"/>
                <w:szCs w:val="22"/>
              </w:rPr>
              <w:t xml:space="preserve"> independent learners and are </w:t>
            </w:r>
            <w:r>
              <w:rPr>
                <w:rFonts w:asciiTheme="minorHAnsi" w:hAnsiTheme="minorHAnsi" w:cstheme="minorHAnsi"/>
                <w:b w:val="0"/>
                <w:sz w:val="22"/>
                <w:szCs w:val="22"/>
              </w:rPr>
              <w:t xml:space="preserve">able to learn through differentiated </w:t>
            </w:r>
            <w:r w:rsidRPr="0062128E">
              <w:rPr>
                <w:rFonts w:asciiTheme="minorHAnsi" w:hAnsiTheme="minorHAnsi" w:cstheme="minorHAnsi"/>
                <w:b w:val="0"/>
                <w:sz w:val="22"/>
                <w:szCs w:val="22"/>
              </w:rPr>
              <w:t>lea</w:t>
            </w:r>
            <w:r>
              <w:rPr>
                <w:rFonts w:asciiTheme="minorHAnsi" w:hAnsiTheme="minorHAnsi" w:cstheme="minorHAnsi"/>
                <w:b w:val="0"/>
                <w:sz w:val="22"/>
                <w:szCs w:val="22"/>
              </w:rPr>
              <w:t>rning activities at four levels.  This allows them</w:t>
            </w:r>
            <w:r w:rsidRPr="0062128E">
              <w:rPr>
                <w:rFonts w:asciiTheme="minorHAnsi" w:hAnsiTheme="minorHAnsi" w:cstheme="minorHAnsi"/>
                <w:b w:val="0"/>
                <w:sz w:val="22"/>
                <w:szCs w:val="22"/>
              </w:rPr>
              <w:t xml:space="preserve"> to develop high levels of knowledge, skills and technological understanding. Students are taught in mixed ability groups at all key stages. </w:t>
            </w:r>
            <w:r>
              <w:rPr>
                <w:rFonts w:asciiTheme="minorHAnsi" w:hAnsiTheme="minorHAnsi" w:cstheme="minorHAnsi"/>
                <w:b w:val="0"/>
                <w:sz w:val="22"/>
                <w:szCs w:val="22"/>
              </w:rPr>
              <w:t xml:space="preserve"> Students’</w:t>
            </w:r>
            <w:r w:rsidRPr="0062128E">
              <w:rPr>
                <w:rFonts w:asciiTheme="minorHAnsi" w:hAnsiTheme="minorHAnsi" w:cstheme="minorHAnsi"/>
                <w:b w:val="0"/>
                <w:sz w:val="22"/>
                <w:szCs w:val="22"/>
              </w:rPr>
              <w:t xml:space="preserve"> work is carefully monitored and</w:t>
            </w:r>
            <w:r>
              <w:rPr>
                <w:rFonts w:asciiTheme="minorHAnsi" w:hAnsiTheme="minorHAnsi" w:cstheme="minorHAnsi"/>
                <w:b w:val="0"/>
                <w:sz w:val="22"/>
                <w:szCs w:val="22"/>
              </w:rPr>
              <w:t xml:space="preserve"> assessed regularly and they</w:t>
            </w:r>
            <w:r w:rsidRPr="0062128E">
              <w:rPr>
                <w:rFonts w:asciiTheme="minorHAnsi" w:hAnsiTheme="minorHAnsi" w:cstheme="minorHAnsi"/>
                <w:b w:val="0"/>
                <w:sz w:val="22"/>
                <w:szCs w:val="22"/>
              </w:rPr>
              <w:t xml:space="preserve"> are involved in individual targe</w:t>
            </w:r>
            <w:r>
              <w:rPr>
                <w:rFonts w:asciiTheme="minorHAnsi" w:hAnsiTheme="minorHAnsi" w:cstheme="minorHAnsi"/>
                <w:b w:val="0"/>
                <w:sz w:val="22"/>
                <w:szCs w:val="22"/>
              </w:rPr>
              <w:t>t setting</w:t>
            </w:r>
            <w:r w:rsidRPr="0062128E">
              <w:rPr>
                <w:rFonts w:asciiTheme="minorHAnsi" w:hAnsiTheme="minorHAnsi" w:cstheme="minorHAnsi"/>
                <w:b w:val="0"/>
                <w:sz w:val="22"/>
                <w:szCs w:val="22"/>
              </w:rPr>
              <w:t>.</w:t>
            </w:r>
          </w:p>
          <w:p w:rsidR="00D0365E" w:rsidRDefault="00D0365E" w:rsidP="00A41DAE">
            <w:pPr>
              <w:pStyle w:val="BodyText"/>
              <w:rPr>
                <w:rFonts w:asciiTheme="minorHAnsi" w:hAnsiTheme="minorHAnsi" w:cstheme="minorHAnsi"/>
                <w:b w:val="0"/>
                <w:sz w:val="22"/>
                <w:szCs w:val="22"/>
              </w:rPr>
            </w:pPr>
          </w:p>
          <w:p w:rsidR="00D0365E" w:rsidRDefault="00D0365E" w:rsidP="00D0365E">
            <w:pPr>
              <w:pStyle w:val="PlainText"/>
            </w:pPr>
            <w:r>
              <w:t xml:space="preserve">Within the Business the department there is an extremely high uptake onto the Health and Social Care courses. Students both male and female choose these courses to gain an insight into the professional world of health and care and it requires a real up to date and thorough delivery on behalf of staff. </w:t>
            </w:r>
          </w:p>
          <w:p w:rsidR="00D0365E" w:rsidRDefault="00D0365E" w:rsidP="00D0365E">
            <w:pPr>
              <w:pStyle w:val="PlainText"/>
            </w:pPr>
          </w:p>
          <w:p w:rsidR="00D0365E" w:rsidRDefault="00D0365E" w:rsidP="00D0365E">
            <w:pPr>
              <w:pStyle w:val="PlainText"/>
            </w:pPr>
            <w:r>
              <w:t xml:space="preserve">The Health and Social Care courses benefit from external agencies working with students to advance their learning and successful candidate would be willing to offer and contribute towards this. </w:t>
            </w:r>
          </w:p>
          <w:p w:rsidR="00D0365E" w:rsidRPr="0062128E" w:rsidRDefault="00D0365E" w:rsidP="00A41DAE">
            <w:pPr>
              <w:pStyle w:val="BodyText"/>
              <w:rPr>
                <w:rFonts w:asciiTheme="minorHAnsi" w:hAnsiTheme="minorHAnsi" w:cstheme="minorHAnsi"/>
                <w:b w:val="0"/>
                <w:sz w:val="22"/>
                <w:szCs w:val="22"/>
              </w:rPr>
            </w:pPr>
            <w:bookmarkStart w:id="0" w:name="_GoBack"/>
            <w:bookmarkEnd w:id="0"/>
          </w:p>
        </w:tc>
      </w:tr>
      <w:tr w:rsidR="004E136D" w:rsidRPr="004E136D" w:rsidTr="004E136D">
        <w:trPr>
          <w:trHeight w:val="483"/>
          <w:tblCellSpacing w:w="14" w:type="dxa"/>
        </w:trPr>
        <w:tc>
          <w:tcPr>
            <w:tcW w:w="10636" w:type="dxa"/>
            <w:tcBorders>
              <w:top w:val="single" w:sz="4" w:space="0" w:color="7183B2"/>
              <w:left w:val="single" w:sz="4" w:space="0" w:color="7183B2"/>
              <w:bottom w:val="single" w:sz="4" w:space="0" w:color="7183B2"/>
              <w:right w:val="single" w:sz="4" w:space="0" w:color="7183B2"/>
            </w:tcBorders>
            <w:shd w:val="clear" w:color="auto" w:fill="3D5C96"/>
            <w:vAlign w:val="center"/>
          </w:tcPr>
          <w:p w:rsidR="004E136D" w:rsidRPr="004E136D" w:rsidRDefault="003D7F97" w:rsidP="004E136D">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Courses</w:t>
            </w:r>
          </w:p>
        </w:tc>
      </w:tr>
      <w:tr w:rsidR="004E136D" w:rsidTr="00D831E3">
        <w:trPr>
          <w:trHeight w:val="1843"/>
          <w:tblCellSpacing w:w="14" w:type="dxa"/>
        </w:trPr>
        <w:tc>
          <w:tcPr>
            <w:tcW w:w="10636" w:type="dxa"/>
            <w:tcBorders>
              <w:top w:val="single" w:sz="4" w:space="0" w:color="7183B2"/>
              <w:left w:val="single" w:sz="4" w:space="0" w:color="7183B2"/>
              <w:bottom w:val="single" w:sz="4" w:space="0" w:color="7183B2"/>
              <w:right w:val="single" w:sz="4" w:space="0" w:color="7183B2"/>
            </w:tcBorders>
            <w:shd w:val="clear" w:color="auto" w:fill="EDEFF6"/>
            <w:vAlign w:val="center"/>
          </w:tcPr>
          <w:p w:rsidR="004F7D75" w:rsidRDefault="00693C4E" w:rsidP="004F7D75">
            <w:pPr>
              <w:pStyle w:val="BodyText"/>
              <w:rPr>
                <w:rFonts w:ascii="Calibri" w:hAnsi="Calibri"/>
                <w:b w:val="0"/>
                <w:sz w:val="22"/>
                <w:szCs w:val="22"/>
              </w:rPr>
            </w:pPr>
            <w:r>
              <w:rPr>
                <w:rFonts w:ascii="Calibri" w:hAnsi="Calibri"/>
                <w:b w:val="0"/>
                <w:sz w:val="22"/>
                <w:szCs w:val="22"/>
              </w:rPr>
              <w:lastRenderedPageBreak/>
              <w:t>B</w:t>
            </w:r>
            <w:r w:rsidR="004F7D75">
              <w:rPr>
                <w:rFonts w:ascii="Calibri" w:hAnsi="Calibri"/>
                <w:b w:val="0"/>
                <w:sz w:val="22"/>
                <w:szCs w:val="22"/>
              </w:rPr>
              <w:t xml:space="preserve">usiness </w:t>
            </w:r>
            <w:r>
              <w:rPr>
                <w:rFonts w:ascii="Calibri" w:hAnsi="Calibri"/>
                <w:b w:val="0"/>
                <w:sz w:val="22"/>
                <w:szCs w:val="22"/>
              </w:rPr>
              <w:t xml:space="preserve">is </w:t>
            </w:r>
            <w:r w:rsidR="00447615">
              <w:rPr>
                <w:rFonts w:ascii="Calibri" w:hAnsi="Calibri"/>
                <w:b w:val="0"/>
                <w:sz w:val="22"/>
                <w:szCs w:val="22"/>
              </w:rPr>
              <w:t>an optional subject student</w:t>
            </w:r>
            <w:r w:rsidR="004F7D75">
              <w:rPr>
                <w:rFonts w:ascii="Calibri" w:hAnsi="Calibri"/>
                <w:b w:val="0"/>
                <w:sz w:val="22"/>
                <w:szCs w:val="22"/>
              </w:rPr>
              <w:t xml:space="preserve"> can select to study.</w:t>
            </w:r>
            <w:r w:rsidR="00D831E3" w:rsidRPr="0062128E">
              <w:rPr>
                <w:rFonts w:ascii="Calibri" w:hAnsi="Calibri"/>
                <w:b w:val="0"/>
                <w:sz w:val="22"/>
                <w:szCs w:val="22"/>
              </w:rPr>
              <w:t xml:space="preserve"> In</w:t>
            </w:r>
            <w:r w:rsidR="00D831E3">
              <w:rPr>
                <w:rFonts w:ascii="Calibri" w:hAnsi="Calibri"/>
                <w:b w:val="0"/>
                <w:sz w:val="22"/>
                <w:szCs w:val="22"/>
              </w:rPr>
              <w:t xml:space="preserve"> Key Stage 3 and 4, students receive two</w:t>
            </w:r>
            <w:r w:rsidR="00D831E3" w:rsidRPr="0062128E">
              <w:rPr>
                <w:rFonts w:ascii="Calibri" w:hAnsi="Calibri"/>
                <w:b w:val="0"/>
                <w:sz w:val="22"/>
                <w:szCs w:val="22"/>
              </w:rPr>
              <w:t xml:space="preserve"> lessons of </w:t>
            </w:r>
            <w:r w:rsidR="00D831E3">
              <w:rPr>
                <w:rFonts w:ascii="Calibri" w:hAnsi="Calibri"/>
                <w:b w:val="0"/>
                <w:sz w:val="22"/>
                <w:szCs w:val="22"/>
              </w:rPr>
              <w:t xml:space="preserve">Business Studies; In Key Stage 5 students receive four lessons. </w:t>
            </w:r>
          </w:p>
          <w:p w:rsidR="004F7D75" w:rsidRPr="00961870" w:rsidRDefault="004F7D75" w:rsidP="004F7D75">
            <w:pPr>
              <w:pStyle w:val="BodyText"/>
              <w:rPr>
                <w:rFonts w:asciiTheme="minorHAnsi" w:hAnsiTheme="minorHAnsi" w:cstheme="minorHAnsi"/>
                <w:b w:val="0"/>
                <w:sz w:val="18"/>
                <w:szCs w:val="18"/>
              </w:rPr>
            </w:pPr>
          </w:p>
          <w:p w:rsidR="004F7D75" w:rsidRPr="00961870" w:rsidRDefault="00447615" w:rsidP="004F7D75">
            <w:pPr>
              <w:pStyle w:val="BodyText"/>
              <w:rPr>
                <w:rFonts w:asciiTheme="minorHAnsi" w:hAnsiTheme="minorHAnsi" w:cstheme="minorHAnsi"/>
                <w:b w:val="0"/>
                <w:sz w:val="22"/>
                <w:szCs w:val="22"/>
              </w:rPr>
            </w:pPr>
            <w:r>
              <w:rPr>
                <w:rFonts w:asciiTheme="minorHAnsi" w:hAnsiTheme="minorHAnsi" w:cstheme="minorHAnsi"/>
                <w:b w:val="0"/>
                <w:sz w:val="22"/>
                <w:szCs w:val="22"/>
              </w:rPr>
              <w:t>Business courses offered</w:t>
            </w:r>
            <w:r w:rsidR="004F7D75" w:rsidRPr="00961870">
              <w:rPr>
                <w:rFonts w:asciiTheme="minorHAnsi" w:hAnsiTheme="minorHAnsi" w:cstheme="minorHAnsi"/>
                <w:b w:val="0"/>
                <w:sz w:val="22"/>
                <w:szCs w:val="22"/>
              </w:rPr>
              <w:t>:</w:t>
            </w:r>
          </w:p>
          <w:p w:rsidR="004F7D75" w:rsidRPr="00961870" w:rsidRDefault="004F7D75" w:rsidP="00693C4E">
            <w:pPr>
              <w:pStyle w:val="ListParagraph"/>
              <w:numPr>
                <w:ilvl w:val="0"/>
                <w:numId w:val="3"/>
              </w:numPr>
              <w:rPr>
                <w:rFonts w:asciiTheme="minorHAnsi" w:hAnsiTheme="minorHAnsi" w:cstheme="minorHAnsi"/>
                <w:sz w:val="22"/>
                <w:szCs w:val="22"/>
              </w:rPr>
            </w:pPr>
            <w:r w:rsidRPr="00961870">
              <w:rPr>
                <w:rFonts w:asciiTheme="minorHAnsi" w:hAnsiTheme="minorHAnsi" w:cstheme="minorHAnsi"/>
                <w:sz w:val="22"/>
                <w:szCs w:val="22"/>
              </w:rPr>
              <w:t xml:space="preserve">Edexcel GCSE in Business Studies </w:t>
            </w:r>
          </w:p>
          <w:p w:rsidR="004F7D75" w:rsidRPr="00961870" w:rsidRDefault="00D831E3" w:rsidP="00693C4E">
            <w:pPr>
              <w:pStyle w:val="ListParagraph"/>
              <w:numPr>
                <w:ilvl w:val="0"/>
                <w:numId w:val="3"/>
              </w:numPr>
              <w:rPr>
                <w:rFonts w:asciiTheme="minorHAnsi" w:hAnsiTheme="minorHAnsi" w:cstheme="minorHAnsi"/>
                <w:sz w:val="22"/>
                <w:szCs w:val="22"/>
              </w:rPr>
            </w:pPr>
            <w:proofErr w:type="spellStart"/>
            <w:r>
              <w:rPr>
                <w:rFonts w:asciiTheme="minorHAnsi" w:hAnsiTheme="minorHAnsi" w:cstheme="minorHAnsi"/>
                <w:sz w:val="22"/>
                <w:szCs w:val="22"/>
              </w:rPr>
              <w:t>Eduqas</w:t>
            </w:r>
            <w:proofErr w:type="spellEnd"/>
            <w:r w:rsidR="004F7D75" w:rsidRPr="00961870">
              <w:rPr>
                <w:rFonts w:asciiTheme="minorHAnsi" w:hAnsiTheme="minorHAnsi" w:cstheme="minorHAnsi"/>
                <w:sz w:val="22"/>
                <w:szCs w:val="22"/>
              </w:rPr>
              <w:t xml:space="preserve"> GCE Business </w:t>
            </w:r>
          </w:p>
          <w:p w:rsidR="00693C4E" w:rsidRDefault="00D831E3" w:rsidP="00693C4E">
            <w:pPr>
              <w:pStyle w:val="BodyText"/>
              <w:numPr>
                <w:ilvl w:val="0"/>
                <w:numId w:val="3"/>
              </w:numPr>
              <w:rPr>
                <w:rFonts w:asciiTheme="minorHAnsi" w:hAnsiTheme="minorHAnsi" w:cstheme="minorHAnsi"/>
                <w:b w:val="0"/>
                <w:sz w:val="22"/>
                <w:szCs w:val="22"/>
              </w:rPr>
            </w:pPr>
            <w:r>
              <w:rPr>
                <w:rFonts w:asciiTheme="minorHAnsi" w:hAnsiTheme="minorHAnsi" w:cstheme="minorHAnsi"/>
                <w:b w:val="0"/>
                <w:sz w:val="22"/>
                <w:szCs w:val="22"/>
              </w:rPr>
              <w:t xml:space="preserve">OCR Cambridge Technical Level 3 Introductory Diploma </w:t>
            </w:r>
            <w:r w:rsidR="00693C4E" w:rsidRPr="00961870">
              <w:rPr>
                <w:rFonts w:asciiTheme="minorHAnsi" w:hAnsiTheme="minorHAnsi" w:cstheme="minorHAnsi"/>
                <w:b w:val="0"/>
                <w:sz w:val="22"/>
                <w:szCs w:val="22"/>
              </w:rPr>
              <w:t xml:space="preserve">in </w:t>
            </w:r>
            <w:r w:rsidR="00693C4E">
              <w:rPr>
                <w:rFonts w:asciiTheme="minorHAnsi" w:hAnsiTheme="minorHAnsi" w:cstheme="minorHAnsi"/>
                <w:b w:val="0"/>
                <w:sz w:val="22"/>
                <w:szCs w:val="22"/>
              </w:rPr>
              <w:t xml:space="preserve">Business </w:t>
            </w:r>
          </w:p>
          <w:p w:rsidR="00D831E3" w:rsidRDefault="00D831E3" w:rsidP="00D831E3">
            <w:pPr>
              <w:pStyle w:val="BodyText"/>
              <w:numPr>
                <w:ilvl w:val="0"/>
                <w:numId w:val="3"/>
              </w:numPr>
              <w:rPr>
                <w:rFonts w:asciiTheme="minorHAnsi" w:hAnsiTheme="minorHAnsi" w:cstheme="minorHAnsi"/>
                <w:b w:val="0"/>
                <w:sz w:val="22"/>
                <w:szCs w:val="22"/>
              </w:rPr>
            </w:pPr>
            <w:r>
              <w:rPr>
                <w:rFonts w:asciiTheme="minorHAnsi" w:hAnsiTheme="minorHAnsi" w:cstheme="minorHAnsi"/>
                <w:b w:val="0"/>
                <w:sz w:val="22"/>
                <w:szCs w:val="22"/>
              </w:rPr>
              <w:t xml:space="preserve">OCR Cambridge Technical Level 3 Introductory Diploma </w:t>
            </w:r>
            <w:r w:rsidRPr="00961870">
              <w:rPr>
                <w:rFonts w:asciiTheme="minorHAnsi" w:hAnsiTheme="minorHAnsi" w:cstheme="minorHAnsi"/>
                <w:b w:val="0"/>
                <w:sz w:val="22"/>
                <w:szCs w:val="22"/>
              </w:rPr>
              <w:t xml:space="preserve">in </w:t>
            </w:r>
            <w:r>
              <w:rPr>
                <w:rFonts w:asciiTheme="minorHAnsi" w:hAnsiTheme="minorHAnsi" w:cstheme="minorHAnsi"/>
                <w:b w:val="0"/>
                <w:sz w:val="22"/>
                <w:szCs w:val="22"/>
              </w:rPr>
              <w:t xml:space="preserve">Health and Social Care </w:t>
            </w:r>
          </w:p>
          <w:p w:rsidR="004E136D" w:rsidRPr="004F7D75" w:rsidRDefault="00D831E3" w:rsidP="00693C4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AQA AS Level Travel and Tourism</w:t>
            </w:r>
          </w:p>
        </w:tc>
      </w:tr>
    </w:tbl>
    <w:p w:rsidR="002B1419" w:rsidRPr="004E136D" w:rsidRDefault="002B1419" w:rsidP="008924D0">
      <w:pPr>
        <w:rPr>
          <w:rFonts w:asciiTheme="minorHAnsi" w:hAnsiTheme="minorHAnsi" w:cstheme="minorHAnsi"/>
          <w:sz w:val="10"/>
          <w:szCs w:val="22"/>
        </w:rPr>
      </w:pPr>
    </w:p>
    <w:sectPr w:rsidR="002B1419" w:rsidRPr="004E136D" w:rsidSect="00447615">
      <w:headerReference w:type="default" r:id="rId8"/>
      <w:footerReference w:type="default" r:id="rId9"/>
      <w:type w:val="continuous"/>
      <w:pgSz w:w="11906" w:h="16838"/>
      <w:pgMar w:top="720" w:right="720" w:bottom="720" w:left="72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F9A" w:rsidRDefault="005B0F9A" w:rsidP="00252EB5">
      <w:r>
        <w:separator/>
      </w:r>
    </w:p>
  </w:endnote>
  <w:endnote w:type="continuationSeparator" w:id="0">
    <w:p w:rsidR="005B0F9A" w:rsidRDefault="005B0F9A" w:rsidP="0025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E4" w:rsidRPr="004926E4" w:rsidRDefault="004926E4" w:rsidP="004926E4">
    <w:pPr>
      <w:tabs>
        <w:tab w:val="center" w:pos="4513"/>
        <w:tab w:val="right" w:pos="9026"/>
      </w:tabs>
      <w:rPr>
        <w:rFonts w:asciiTheme="minorHAnsi" w:eastAsiaTheme="minorHAnsi" w:hAnsiTheme="minorHAnsi" w:cstheme="minorBidi"/>
        <w:sz w:val="2"/>
        <w:szCs w:val="22"/>
      </w:rPr>
    </w:pPr>
  </w:p>
  <w:tbl>
    <w:tblPr>
      <w:tblW w:w="0" w:type="auto"/>
      <w:tblLayout w:type="fixed"/>
      <w:tblLook w:val="04A0" w:firstRow="1" w:lastRow="0" w:firstColumn="1" w:lastColumn="0" w:noHBand="0" w:noVBand="1"/>
    </w:tblPr>
    <w:tblGrid>
      <w:gridCol w:w="817"/>
      <w:gridCol w:w="1559"/>
      <w:gridCol w:w="1276"/>
      <w:gridCol w:w="620"/>
      <w:gridCol w:w="1223"/>
      <w:gridCol w:w="914"/>
      <w:gridCol w:w="1068"/>
      <w:gridCol w:w="1068"/>
      <w:gridCol w:w="1061"/>
      <w:gridCol w:w="1076"/>
    </w:tblGrid>
    <w:tr w:rsidR="00447615" w:rsidRPr="004926E4" w:rsidTr="00972FBF">
      <w:tc>
        <w:tcPr>
          <w:tcW w:w="817" w:type="dxa"/>
        </w:tcPr>
        <w:p w:rsidR="00447615" w:rsidRPr="004926E4" w:rsidRDefault="00447615" w:rsidP="00447615">
          <w:pPr>
            <w:tabs>
              <w:tab w:val="center" w:pos="4513"/>
              <w:tab w:val="right" w:pos="9026"/>
            </w:tabs>
            <w:rPr>
              <w:rFonts w:asciiTheme="minorHAnsi" w:eastAsiaTheme="minorHAnsi" w:hAnsiTheme="minorHAnsi" w:cstheme="minorBidi"/>
              <w:sz w:val="16"/>
              <w:szCs w:val="22"/>
            </w:rPr>
          </w:pPr>
          <w:r w:rsidRPr="004926E4">
            <w:rPr>
              <w:rFonts w:asciiTheme="minorHAnsi" w:eastAsiaTheme="minorHAnsi" w:hAnsiTheme="minorHAnsi" w:cstheme="minorBidi"/>
              <w:sz w:val="16"/>
              <w:szCs w:val="22"/>
            </w:rPr>
            <w:t>Form</w:t>
          </w:r>
        </w:p>
      </w:tc>
      <w:tc>
        <w:tcPr>
          <w:tcW w:w="1559" w:type="dxa"/>
        </w:tcPr>
        <w:p w:rsidR="00447615" w:rsidRPr="004926E4" w:rsidRDefault="00447615" w:rsidP="00447615">
          <w:pPr>
            <w:tabs>
              <w:tab w:val="center" w:pos="4513"/>
              <w:tab w:val="right" w:pos="9026"/>
            </w:tabs>
            <w:rPr>
              <w:rFonts w:asciiTheme="minorHAnsi" w:eastAsiaTheme="minorHAnsi" w:hAnsiTheme="minorHAnsi" w:cstheme="minorBidi"/>
              <w:b/>
              <w:sz w:val="16"/>
              <w:szCs w:val="22"/>
            </w:rPr>
          </w:pPr>
          <w:r w:rsidRPr="004926E4">
            <w:rPr>
              <w:rFonts w:asciiTheme="minorHAnsi" w:eastAsiaTheme="minorHAnsi" w:hAnsiTheme="minorHAnsi" w:cstheme="minorBidi"/>
              <w:b/>
              <w:sz w:val="16"/>
              <w:szCs w:val="22"/>
            </w:rPr>
            <w:t>ADO/RECRUIT/0</w:t>
          </w:r>
          <w:r>
            <w:rPr>
              <w:rFonts w:asciiTheme="minorHAnsi" w:eastAsiaTheme="minorHAnsi" w:hAnsiTheme="minorHAnsi" w:cstheme="minorBidi"/>
              <w:b/>
              <w:sz w:val="16"/>
              <w:szCs w:val="22"/>
            </w:rPr>
            <w:t>3</w:t>
          </w:r>
        </w:p>
      </w:tc>
      <w:tc>
        <w:tcPr>
          <w:tcW w:w="1276" w:type="dxa"/>
        </w:tcPr>
        <w:p w:rsidR="00447615" w:rsidRPr="004926E4" w:rsidRDefault="00447615" w:rsidP="00447615">
          <w:pPr>
            <w:tabs>
              <w:tab w:val="center" w:pos="4513"/>
              <w:tab w:val="right" w:pos="9026"/>
            </w:tabs>
            <w:jc w:val="right"/>
            <w:rPr>
              <w:rFonts w:asciiTheme="minorHAnsi" w:eastAsiaTheme="minorHAnsi" w:hAnsiTheme="minorHAnsi" w:cstheme="minorBidi"/>
              <w:sz w:val="16"/>
              <w:szCs w:val="22"/>
            </w:rPr>
          </w:pPr>
          <w:r w:rsidRPr="004926E4">
            <w:rPr>
              <w:rFonts w:asciiTheme="minorHAnsi" w:eastAsiaTheme="minorHAnsi" w:hAnsiTheme="minorHAnsi" w:cstheme="minorBidi"/>
              <w:sz w:val="16"/>
              <w:szCs w:val="22"/>
            </w:rPr>
            <w:t>Originator</w:t>
          </w:r>
        </w:p>
      </w:tc>
      <w:tc>
        <w:tcPr>
          <w:tcW w:w="620" w:type="dxa"/>
        </w:tcPr>
        <w:p w:rsidR="00447615" w:rsidRPr="004926E4" w:rsidRDefault="00447615" w:rsidP="00447615">
          <w:pPr>
            <w:tabs>
              <w:tab w:val="center" w:pos="4513"/>
              <w:tab w:val="right" w:pos="9026"/>
            </w:tabs>
            <w:rPr>
              <w:rFonts w:asciiTheme="minorHAnsi" w:eastAsiaTheme="minorHAnsi" w:hAnsiTheme="minorHAnsi" w:cstheme="minorBidi"/>
              <w:b/>
              <w:sz w:val="16"/>
              <w:szCs w:val="22"/>
            </w:rPr>
          </w:pPr>
          <w:r>
            <w:rPr>
              <w:rFonts w:asciiTheme="minorHAnsi" w:eastAsiaTheme="minorHAnsi" w:hAnsiTheme="minorHAnsi" w:cstheme="minorBidi"/>
              <w:b/>
              <w:sz w:val="16"/>
              <w:szCs w:val="22"/>
            </w:rPr>
            <w:t>CKE</w:t>
          </w:r>
        </w:p>
      </w:tc>
      <w:tc>
        <w:tcPr>
          <w:tcW w:w="1223" w:type="dxa"/>
        </w:tcPr>
        <w:p w:rsidR="00447615" w:rsidRPr="004926E4" w:rsidRDefault="00447615" w:rsidP="00447615">
          <w:pPr>
            <w:tabs>
              <w:tab w:val="center" w:pos="4513"/>
              <w:tab w:val="right" w:pos="9026"/>
            </w:tabs>
            <w:jc w:val="right"/>
            <w:rPr>
              <w:rFonts w:asciiTheme="minorHAnsi" w:eastAsiaTheme="minorHAnsi" w:hAnsiTheme="minorHAnsi" w:cstheme="minorBidi"/>
              <w:sz w:val="16"/>
              <w:szCs w:val="22"/>
            </w:rPr>
          </w:pPr>
          <w:r w:rsidRPr="004926E4">
            <w:rPr>
              <w:rFonts w:asciiTheme="minorHAnsi" w:eastAsiaTheme="minorHAnsi" w:hAnsiTheme="minorHAnsi" w:cstheme="minorBidi"/>
              <w:sz w:val="16"/>
              <w:szCs w:val="22"/>
            </w:rPr>
            <w:t>Approved</w:t>
          </w:r>
        </w:p>
      </w:tc>
      <w:tc>
        <w:tcPr>
          <w:tcW w:w="914" w:type="dxa"/>
        </w:tcPr>
        <w:p w:rsidR="00447615" w:rsidRPr="004926E4" w:rsidRDefault="00447615" w:rsidP="00447615">
          <w:pPr>
            <w:tabs>
              <w:tab w:val="center" w:pos="4513"/>
              <w:tab w:val="right" w:pos="9026"/>
            </w:tabs>
            <w:rPr>
              <w:rFonts w:asciiTheme="minorHAnsi" w:eastAsiaTheme="minorHAnsi" w:hAnsiTheme="minorHAnsi" w:cstheme="minorBidi"/>
              <w:sz w:val="16"/>
              <w:szCs w:val="22"/>
            </w:rPr>
          </w:pPr>
          <w:r w:rsidRPr="004926E4">
            <w:rPr>
              <w:rFonts w:asciiTheme="minorHAnsi" w:eastAsiaTheme="minorHAnsi" w:hAnsiTheme="minorHAnsi" w:cstheme="minorBidi"/>
              <w:sz w:val="16"/>
              <w:szCs w:val="22"/>
            </w:rPr>
            <w:t>P</w:t>
          </w:r>
          <w:r>
            <w:rPr>
              <w:rFonts w:asciiTheme="minorHAnsi" w:eastAsiaTheme="minorHAnsi" w:hAnsiTheme="minorHAnsi" w:cstheme="minorBidi"/>
              <w:b/>
              <w:sz w:val="16"/>
              <w:szCs w:val="22"/>
            </w:rPr>
            <w:t>KI</w:t>
          </w:r>
        </w:p>
      </w:tc>
      <w:tc>
        <w:tcPr>
          <w:tcW w:w="1068" w:type="dxa"/>
        </w:tcPr>
        <w:p w:rsidR="00447615" w:rsidRPr="004926E4" w:rsidRDefault="00447615" w:rsidP="00447615">
          <w:pPr>
            <w:tabs>
              <w:tab w:val="center" w:pos="4513"/>
              <w:tab w:val="right" w:pos="9026"/>
            </w:tabs>
            <w:jc w:val="right"/>
            <w:rPr>
              <w:rFonts w:asciiTheme="minorHAnsi" w:eastAsiaTheme="minorHAnsi" w:hAnsiTheme="minorHAnsi" w:cstheme="minorBidi"/>
              <w:sz w:val="16"/>
              <w:szCs w:val="22"/>
            </w:rPr>
          </w:pPr>
          <w:r w:rsidRPr="004926E4">
            <w:rPr>
              <w:rFonts w:asciiTheme="minorHAnsi" w:eastAsiaTheme="minorHAnsi" w:hAnsiTheme="minorHAnsi" w:cstheme="minorBidi"/>
              <w:sz w:val="16"/>
              <w:szCs w:val="22"/>
            </w:rPr>
            <w:t>Issue</w:t>
          </w:r>
        </w:p>
      </w:tc>
      <w:tc>
        <w:tcPr>
          <w:tcW w:w="1068" w:type="dxa"/>
        </w:tcPr>
        <w:p w:rsidR="00447615" w:rsidRPr="004926E4" w:rsidRDefault="00447615" w:rsidP="00447615">
          <w:pPr>
            <w:tabs>
              <w:tab w:val="center" w:pos="4513"/>
              <w:tab w:val="right" w:pos="9026"/>
            </w:tabs>
            <w:rPr>
              <w:rFonts w:asciiTheme="minorHAnsi" w:eastAsiaTheme="minorHAnsi" w:hAnsiTheme="minorHAnsi" w:cstheme="minorBidi"/>
              <w:b/>
              <w:sz w:val="16"/>
              <w:szCs w:val="22"/>
            </w:rPr>
          </w:pPr>
          <w:r w:rsidRPr="004926E4">
            <w:rPr>
              <w:rFonts w:asciiTheme="minorHAnsi" w:eastAsiaTheme="minorHAnsi" w:hAnsiTheme="minorHAnsi" w:cstheme="minorBidi"/>
              <w:b/>
              <w:sz w:val="16"/>
              <w:szCs w:val="22"/>
            </w:rPr>
            <w:t>1</w:t>
          </w:r>
        </w:p>
      </w:tc>
      <w:tc>
        <w:tcPr>
          <w:tcW w:w="1061" w:type="dxa"/>
        </w:tcPr>
        <w:p w:rsidR="00447615" w:rsidRPr="004926E4" w:rsidRDefault="00447615" w:rsidP="00447615">
          <w:pPr>
            <w:tabs>
              <w:tab w:val="center" w:pos="4513"/>
              <w:tab w:val="right" w:pos="9026"/>
            </w:tabs>
            <w:jc w:val="right"/>
            <w:rPr>
              <w:rFonts w:asciiTheme="minorHAnsi" w:eastAsiaTheme="minorHAnsi" w:hAnsiTheme="minorHAnsi" w:cstheme="minorBidi"/>
              <w:sz w:val="16"/>
              <w:szCs w:val="22"/>
            </w:rPr>
          </w:pPr>
          <w:r w:rsidRPr="004926E4">
            <w:rPr>
              <w:rFonts w:asciiTheme="minorHAnsi" w:eastAsiaTheme="minorHAnsi" w:hAnsiTheme="minorHAnsi" w:cstheme="minorBidi"/>
              <w:sz w:val="16"/>
              <w:szCs w:val="22"/>
            </w:rPr>
            <w:t>Date</w:t>
          </w:r>
        </w:p>
      </w:tc>
      <w:tc>
        <w:tcPr>
          <w:tcW w:w="1076" w:type="dxa"/>
        </w:tcPr>
        <w:p w:rsidR="00447615" w:rsidRPr="004926E4" w:rsidRDefault="00447615" w:rsidP="00447615">
          <w:pPr>
            <w:tabs>
              <w:tab w:val="center" w:pos="4513"/>
              <w:tab w:val="right" w:pos="9026"/>
            </w:tabs>
            <w:jc w:val="right"/>
            <w:rPr>
              <w:rFonts w:asciiTheme="minorHAnsi" w:eastAsiaTheme="minorHAnsi" w:hAnsiTheme="minorHAnsi" w:cstheme="minorBidi"/>
              <w:b/>
              <w:sz w:val="16"/>
              <w:szCs w:val="22"/>
            </w:rPr>
          </w:pPr>
          <w:r>
            <w:rPr>
              <w:rFonts w:asciiTheme="minorHAnsi" w:eastAsiaTheme="minorHAnsi" w:hAnsiTheme="minorHAnsi" w:cstheme="minorBidi"/>
              <w:sz w:val="16"/>
              <w:szCs w:val="22"/>
            </w:rPr>
            <w:t>25/11/2016</w:t>
          </w:r>
        </w:p>
      </w:tc>
    </w:tr>
  </w:tbl>
  <w:p w:rsidR="00B165CC" w:rsidRPr="00B165CC" w:rsidRDefault="00B165CC" w:rsidP="00B165CC">
    <w:pPr>
      <w:pStyle w:val="Footer"/>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F9A" w:rsidRDefault="005B0F9A" w:rsidP="00252EB5">
      <w:r>
        <w:separator/>
      </w:r>
    </w:p>
  </w:footnote>
  <w:footnote w:type="continuationSeparator" w:id="0">
    <w:p w:rsidR="005B0F9A" w:rsidRDefault="005B0F9A" w:rsidP="0025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97"/>
      <w:gridCol w:w="4683"/>
      <w:gridCol w:w="1086"/>
    </w:tblGrid>
    <w:tr w:rsidR="007512C9" w:rsidTr="007512C9">
      <w:trPr>
        <w:trHeight w:val="562"/>
      </w:trPr>
      <w:tc>
        <w:tcPr>
          <w:tcW w:w="4798" w:type="dxa"/>
          <w:tcBorders>
            <w:bottom w:val="single" w:sz="4" w:space="0" w:color="365F91" w:themeColor="accent1" w:themeShade="BF"/>
          </w:tcBorders>
          <w:vAlign w:val="center"/>
        </w:tcPr>
        <w:p w:rsidR="007512C9" w:rsidRPr="00252EB5" w:rsidRDefault="007512C9" w:rsidP="00252EB5">
          <w:pPr>
            <w:pStyle w:val="Header"/>
            <w:rPr>
              <w:rFonts w:ascii="Arial Black" w:hAnsi="Arial Black"/>
              <w:b/>
              <w:color w:val="365F91" w:themeColor="accent1" w:themeShade="BF"/>
              <w:sz w:val="32"/>
              <w:szCs w:val="32"/>
            </w:rPr>
          </w:pPr>
          <w:r w:rsidRPr="00252EB5">
            <w:rPr>
              <w:rFonts w:ascii="Arial Black" w:hAnsi="Arial Black"/>
              <w:b/>
              <w:color w:val="365F91" w:themeColor="accent1" w:themeShade="BF"/>
              <w:sz w:val="32"/>
              <w:szCs w:val="32"/>
            </w:rPr>
            <w:t>Brooke Weston</w:t>
          </w:r>
        </w:p>
      </w:tc>
      <w:tc>
        <w:tcPr>
          <w:tcW w:w="4798" w:type="dxa"/>
          <w:tcBorders>
            <w:bottom w:val="single" w:sz="4" w:space="0" w:color="365F91" w:themeColor="accent1" w:themeShade="BF"/>
          </w:tcBorders>
          <w:vAlign w:val="bottom"/>
        </w:tcPr>
        <w:p w:rsidR="007512C9" w:rsidRPr="007512C9" w:rsidRDefault="00447615" w:rsidP="00447615">
          <w:pPr>
            <w:jc w:val="right"/>
            <w:rPr>
              <w:rFonts w:asciiTheme="minorHAnsi" w:hAnsiTheme="minorHAnsi" w:cstheme="minorHAnsi"/>
              <w:sz w:val="22"/>
              <w:szCs w:val="22"/>
            </w:rPr>
          </w:pPr>
          <w:r>
            <w:rPr>
              <w:rFonts w:asciiTheme="minorHAnsi" w:hAnsiTheme="minorHAnsi" w:cstheme="minorHAnsi"/>
              <w:color w:val="808080" w:themeColor="background1" w:themeShade="80"/>
              <w:sz w:val="22"/>
              <w:szCs w:val="22"/>
            </w:rPr>
            <w:t xml:space="preserve">Associate </w:t>
          </w:r>
          <w:r w:rsidR="007512C9" w:rsidRPr="007512C9">
            <w:rPr>
              <w:rFonts w:asciiTheme="minorHAnsi" w:hAnsiTheme="minorHAnsi" w:cstheme="minorHAnsi"/>
              <w:color w:val="808080" w:themeColor="background1" w:themeShade="80"/>
              <w:sz w:val="22"/>
              <w:szCs w:val="22"/>
            </w:rPr>
            <w:t>Principal:</w:t>
          </w:r>
          <w:r w:rsidR="007512C9" w:rsidRPr="007512C9">
            <w:rPr>
              <w:rFonts w:asciiTheme="minorHAnsi" w:hAnsiTheme="minorHAnsi" w:cstheme="minorHAnsi"/>
              <w:sz w:val="22"/>
              <w:szCs w:val="22"/>
            </w:rPr>
            <w:t xml:space="preserve"> </w:t>
          </w:r>
          <w:r>
            <w:rPr>
              <w:rFonts w:asciiTheme="minorHAnsi" w:hAnsiTheme="minorHAnsi" w:cstheme="minorHAnsi"/>
              <w:sz w:val="22"/>
              <w:szCs w:val="22"/>
            </w:rPr>
            <w:t>Peter Kirkbride</w:t>
          </w:r>
        </w:p>
      </w:tc>
      <w:tc>
        <w:tcPr>
          <w:tcW w:w="1086" w:type="dxa"/>
          <w:vMerge w:val="restart"/>
          <w:vAlign w:val="center"/>
        </w:tcPr>
        <w:p w:rsidR="007512C9" w:rsidRDefault="007512C9" w:rsidP="00252EB5">
          <w:pPr>
            <w:pStyle w:val="Header"/>
          </w:pPr>
          <w:r>
            <w:rPr>
              <w:noProof/>
              <w:lang w:eastAsia="en-GB"/>
            </w:rPr>
            <w:drawing>
              <wp:inline distT="0" distB="0" distL="0" distR="0" wp14:anchorId="7332FED4" wp14:editId="06670BBF">
                <wp:extent cx="533400" cy="533400"/>
                <wp:effectExtent l="19050" t="0" r="0" b="0"/>
                <wp:docPr id="2" name="Picture 0" descr="BW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Logo Small.jpg"/>
                        <pic:cNvPicPr/>
                      </pic:nvPicPr>
                      <pic:blipFill>
                        <a:blip r:embed="rId1"/>
                        <a:stretch>
                          <a:fillRect/>
                        </a:stretch>
                      </pic:blipFill>
                      <pic:spPr>
                        <a:xfrm>
                          <a:off x="0" y="0"/>
                          <a:ext cx="534737" cy="534737"/>
                        </a:xfrm>
                        <a:prstGeom prst="rect">
                          <a:avLst/>
                        </a:prstGeom>
                      </pic:spPr>
                    </pic:pic>
                  </a:graphicData>
                </a:graphic>
              </wp:inline>
            </w:drawing>
          </w:r>
        </w:p>
      </w:tc>
    </w:tr>
    <w:tr w:rsidR="00CC5B8C" w:rsidTr="007512C9">
      <w:trPr>
        <w:trHeight w:val="276"/>
      </w:trPr>
      <w:tc>
        <w:tcPr>
          <w:tcW w:w="9596" w:type="dxa"/>
          <w:gridSpan w:val="2"/>
          <w:tcBorders>
            <w:top w:val="single" w:sz="4" w:space="0" w:color="365F91" w:themeColor="accent1" w:themeShade="BF"/>
          </w:tcBorders>
          <w:vAlign w:val="center"/>
        </w:tcPr>
        <w:p w:rsidR="00CC5B8C" w:rsidRPr="002B4542" w:rsidRDefault="00CC5B8C" w:rsidP="00252EB5">
          <w:pPr>
            <w:pStyle w:val="Header"/>
            <w:rPr>
              <w:rFonts w:asciiTheme="minorHAnsi" w:hAnsiTheme="minorHAnsi"/>
            </w:rPr>
          </w:pPr>
          <w:r w:rsidRPr="002B4542">
            <w:rPr>
              <w:rFonts w:asciiTheme="minorHAnsi" w:hAnsiTheme="minorHAnsi"/>
              <w:sz w:val="18"/>
            </w:rPr>
            <w:t xml:space="preserve">Coomb Road, Great Oakley, Corby, Northants, NN18 8LA  </w:t>
          </w:r>
          <w:r w:rsidRPr="002B4542">
            <w:rPr>
              <w:rFonts w:asciiTheme="minorHAnsi" w:hAnsiTheme="minorHAnsi"/>
              <w:b/>
              <w:sz w:val="18"/>
            </w:rPr>
            <w:t>t</w:t>
          </w:r>
          <w:r w:rsidRPr="002B4542">
            <w:rPr>
              <w:rFonts w:asciiTheme="minorHAnsi" w:hAnsiTheme="minorHAnsi"/>
              <w:sz w:val="18"/>
            </w:rPr>
            <w:t xml:space="preserve"> 01536 396366  </w:t>
          </w:r>
          <w:r w:rsidRPr="002B4542">
            <w:rPr>
              <w:rFonts w:asciiTheme="minorHAnsi" w:hAnsiTheme="minorHAnsi"/>
              <w:b/>
              <w:sz w:val="18"/>
            </w:rPr>
            <w:t xml:space="preserve">f  </w:t>
          </w:r>
          <w:r w:rsidRPr="002B4542">
            <w:rPr>
              <w:rFonts w:asciiTheme="minorHAnsi" w:hAnsiTheme="minorHAnsi"/>
              <w:sz w:val="18"/>
            </w:rPr>
            <w:t xml:space="preserve">01536 396867  </w:t>
          </w:r>
          <w:r w:rsidRPr="002B4542">
            <w:rPr>
              <w:rFonts w:asciiTheme="minorHAnsi" w:hAnsiTheme="minorHAnsi"/>
              <w:b/>
              <w:sz w:val="18"/>
            </w:rPr>
            <w:t>e</w:t>
          </w:r>
          <w:r w:rsidRPr="002B4542">
            <w:rPr>
              <w:rFonts w:asciiTheme="minorHAnsi" w:hAnsiTheme="minorHAnsi"/>
              <w:sz w:val="18"/>
            </w:rPr>
            <w:t xml:space="preserve"> enquiries@brookeweston.org</w:t>
          </w:r>
        </w:p>
      </w:tc>
      <w:tc>
        <w:tcPr>
          <w:tcW w:w="1086" w:type="dxa"/>
          <w:vMerge/>
          <w:vAlign w:val="center"/>
        </w:tcPr>
        <w:p w:rsidR="00CC5B8C" w:rsidRDefault="00CC5B8C" w:rsidP="00252EB5">
          <w:pPr>
            <w:pStyle w:val="Header"/>
          </w:pPr>
        </w:p>
      </w:tc>
    </w:tr>
  </w:tbl>
  <w:p w:rsidR="00CC5B8C" w:rsidRPr="00252EB5" w:rsidRDefault="00CC5B8C" w:rsidP="00252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F6E44"/>
    <w:multiLevelType w:val="hybridMultilevel"/>
    <w:tmpl w:val="FEFC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9A4231"/>
    <w:multiLevelType w:val="hybridMultilevel"/>
    <w:tmpl w:val="2854A70A"/>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2" w15:restartNumberingAfterBreak="0">
    <w:nsid w:val="63B13E10"/>
    <w:multiLevelType w:val="hybridMultilevel"/>
    <w:tmpl w:val="4424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CC779A"/>
    <w:multiLevelType w:val="hybridMultilevel"/>
    <w:tmpl w:val="51F0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16E"/>
    <w:rsid w:val="00005703"/>
    <w:rsid w:val="00007094"/>
    <w:rsid w:val="000075F9"/>
    <w:rsid w:val="00025D27"/>
    <w:rsid w:val="000B0D51"/>
    <w:rsid w:val="000C5C03"/>
    <w:rsid w:val="000D2685"/>
    <w:rsid w:val="000E7F6B"/>
    <w:rsid w:val="001309FD"/>
    <w:rsid w:val="00132E69"/>
    <w:rsid w:val="00172EBD"/>
    <w:rsid w:val="00173992"/>
    <w:rsid w:val="00176A06"/>
    <w:rsid w:val="001C6CBE"/>
    <w:rsid w:val="00205FDB"/>
    <w:rsid w:val="00211D5B"/>
    <w:rsid w:val="00234742"/>
    <w:rsid w:val="00234F21"/>
    <w:rsid w:val="00242337"/>
    <w:rsid w:val="00252EB5"/>
    <w:rsid w:val="00256A61"/>
    <w:rsid w:val="002B1419"/>
    <w:rsid w:val="002B4542"/>
    <w:rsid w:val="002F4E37"/>
    <w:rsid w:val="0034487F"/>
    <w:rsid w:val="0037784F"/>
    <w:rsid w:val="003C1CEF"/>
    <w:rsid w:val="003D7F97"/>
    <w:rsid w:val="003F6364"/>
    <w:rsid w:val="004036A5"/>
    <w:rsid w:val="00430FA2"/>
    <w:rsid w:val="00440A8A"/>
    <w:rsid w:val="00447615"/>
    <w:rsid w:val="00487B5E"/>
    <w:rsid w:val="004926E4"/>
    <w:rsid w:val="00496A28"/>
    <w:rsid w:val="004C13DA"/>
    <w:rsid w:val="004E0F59"/>
    <w:rsid w:val="004E136D"/>
    <w:rsid w:val="004E32ED"/>
    <w:rsid w:val="004F7D75"/>
    <w:rsid w:val="005058FB"/>
    <w:rsid w:val="00511E5D"/>
    <w:rsid w:val="00543C26"/>
    <w:rsid w:val="0058282A"/>
    <w:rsid w:val="0059798E"/>
    <w:rsid w:val="005A3085"/>
    <w:rsid w:val="005B0F9A"/>
    <w:rsid w:val="00610C2F"/>
    <w:rsid w:val="0062128E"/>
    <w:rsid w:val="00637C10"/>
    <w:rsid w:val="0065430A"/>
    <w:rsid w:val="00692E4E"/>
    <w:rsid w:val="00693C4E"/>
    <w:rsid w:val="006B006A"/>
    <w:rsid w:val="006C4371"/>
    <w:rsid w:val="006D516E"/>
    <w:rsid w:val="006E3846"/>
    <w:rsid w:val="00701736"/>
    <w:rsid w:val="007512C9"/>
    <w:rsid w:val="007E51CB"/>
    <w:rsid w:val="00812195"/>
    <w:rsid w:val="008924D0"/>
    <w:rsid w:val="008E2A21"/>
    <w:rsid w:val="00902A93"/>
    <w:rsid w:val="009358E8"/>
    <w:rsid w:val="0097058D"/>
    <w:rsid w:val="0099607B"/>
    <w:rsid w:val="009A3081"/>
    <w:rsid w:val="009B2697"/>
    <w:rsid w:val="009B4467"/>
    <w:rsid w:val="009D0C47"/>
    <w:rsid w:val="009D1846"/>
    <w:rsid w:val="00A41DAE"/>
    <w:rsid w:val="00A84955"/>
    <w:rsid w:val="00AA31FC"/>
    <w:rsid w:val="00AA6F0E"/>
    <w:rsid w:val="00B165CC"/>
    <w:rsid w:val="00B40FDB"/>
    <w:rsid w:val="00B47C72"/>
    <w:rsid w:val="00B601DA"/>
    <w:rsid w:val="00BF7BF4"/>
    <w:rsid w:val="00CA1D3F"/>
    <w:rsid w:val="00CC5B8C"/>
    <w:rsid w:val="00D02188"/>
    <w:rsid w:val="00D0365E"/>
    <w:rsid w:val="00D07366"/>
    <w:rsid w:val="00D60C09"/>
    <w:rsid w:val="00D6202A"/>
    <w:rsid w:val="00D75D36"/>
    <w:rsid w:val="00D82C78"/>
    <w:rsid w:val="00D831E3"/>
    <w:rsid w:val="00D94017"/>
    <w:rsid w:val="00D956CD"/>
    <w:rsid w:val="00DB21E3"/>
    <w:rsid w:val="00DB6EC8"/>
    <w:rsid w:val="00DC4B58"/>
    <w:rsid w:val="00DE1146"/>
    <w:rsid w:val="00E06602"/>
    <w:rsid w:val="00E63AFF"/>
    <w:rsid w:val="00E91629"/>
    <w:rsid w:val="00EF46B7"/>
    <w:rsid w:val="00F01A5D"/>
    <w:rsid w:val="00F04754"/>
    <w:rsid w:val="00FF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6FB99F"/>
  <w15:docId w15:val="{E640BC89-9FE2-4666-8C28-A38D491C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42"/>
    <w:rPr>
      <w:rFonts w:ascii="Times New Roman" w:eastAsia="Times New Roman" w:hAnsi="Times New Roman"/>
      <w:sz w:val="20"/>
      <w:szCs w:val="20"/>
    </w:rPr>
  </w:style>
  <w:style w:type="paragraph" w:styleId="Heading1">
    <w:name w:val="heading 1"/>
    <w:basedOn w:val="Normal"/>
    <w:next w:val="Normal"/>
    <w:link w:val="Heading1Char"/>
    <w:uiPriority w:val="9"/>
    <w:qFormat/>
    <w:rsid w:val="00252E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2E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41DA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EB5"/>
    <w:pPr>
      <w:tabs>
        <w:tab w:val="center" w:pos="4513"/>
        <w:tab w:val="right" w:pos="9026"/>
      </w:tabs>
    </w:pPr>
  </w:style>
  <w:style w:type="character" w:customStyle="1" w:styleId="HeaderChar">
    <w:name w:val="Header Char"/>
    <w:basedOn w:val="DefaultParagraphFont"/>
    <w:link w:val="Header"/>
    <w:uiPriority w:val="99"/>
    <w:rsid w:val="00252EB5"/>
  </w:style>
  <w:style w:type="paragraph" w:styleId="Footer">
    <w:name w:val="footer"/>
    <w:basedOn w:val="Normal"/>
    <w:link w:val="FooterChar"/>
    <w:uiPriority w:val="99"/>
    <w:unhideWhenUsed/>
    <w:rsid w:val="00252EB5"/>
    <w:pPr>
      <w:tabs>
        <w:tab w:val="center" w:pos="4513"/>
        <w:tab w:val="right" w:pos="9026"/>
      </w:tabs>
    </w:pPr>
  </w:style>
  <w:style w:type="character" w:customStyle="1" w:styleId="FooterChar">
    <w:name w:val="Footer Char"/>
    <w:basedOn w:val="DefaultParagraphFont"/>
    <w:link w:val="Footer"/>
    <w:uiPriority w:val="99"/>
    <w:rsid w:val="00252EB5"/>
  </w:style>
  <w:style w:type="paragraph" w:styleId="BalloonText">
    <w:name w:val="Balloon Text"/>
    <w:basedOn w:val="Normal"/>
    <w:link w:val="BalloonTextChar"/>
    <w:uiPriority w:val="99"/>
    <w:semiHidden/>
    <w:unhideWhenUsed/>
    <w:rsid w:val="00252EB5"/>
    <w:rPr>
      <w:rFonts w:ascii="Tahoma" w:hAnsi="Tahoma" w:cs="Tahoma"/>
      <w:sz w:val="16"/>
      <w:szCs w:val="16"/>
    </w:rPr>
  </w:style>
  <w:style w:type="character" w:customStyle="1" w:styleId="BalloonTextChar">
    <w:name w:val="Balloon Text Char"/>
    <w:basedOn w:val="DefaultParagraphFont"/>
    <w:link w:val="BalloonText"/>
    <w:uiPriority w:val="99"/>
    <w:semiHidden/>
    <w:rsid w:val="00252EB5"/>
    <w:rPr>
      <w:rFonts w:ascii="Tahoma" w:hAnsi="Tahoma" w:cs="Tahoma"/>
      <w:sz w:val="16"/>
      <w:szCs w:val="16"/>
    </w:rPr>
  </w:style>
  <w:style w:type="table" w:styleId="TableGrid">
    <w:name w:val="Table Grid"/>
    <w:basedOn w:val="TableNormal"/>
    <w:uiPriority w:val="59"/>
    <w:rsid w:val="00252E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252EB5"/>
    <w:rPr>
      <w:rFonts w:ascii="Tahoma" w:hAnsi="Tahoma"/>
      <w:b/>
      <w:bCs/>
      <w:sz w:val="28"/>
      <w:szCs w:val="24"/>
    </w:rPr>
  </w:style>
  <w:style w:type="character" w:customStyle="1" w:styleId="BodyTextChar">
    <w:name w:val="Body Text Char"/>
    <w:basedOn w:val="DefaultParagraphFont"/>
    <w:link w:val="BodyText"/>
    <w:semiHidden/>
    <w:rsid w:val="00252EB5"/>
    <w:rPr>
      <w:rFonts w:ascii="Tahoma" w:eastAsia="Times New Roman" w:hAnsi="Tahoma" w:cs="Times New Roman"/>
      <w:b/>
      <w:bCs/>
      <w:sz w:val="28"/>
      <w:szCs w:val="24"/>
    </w:rPr>
  </w:style>
  <w:style w:type="paragraph" w:styleId="Title">
    <w:name w:val="Title"/>
    <w:basedOn w:val="Normal"/>
    <w:next w:val="Normal"/>
    <w:link w:val="TitleChar"/>
    <w:uiPriority w:val="10"/>
    <w:qFormat/>
    <w:rsid w:val="00252E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2EB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52EB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52EB5"/>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unhideWhenUsed/>
    <w:rsid w:val="00CC5B8C"/>
    <w:pPr>
      <w:spacing w:after="120"/>
    </w:pPr>
    <w:rPr>
      <w:sz w:val="16"/>
      <w:szCs w:val="16"/>
    </w:rPr>
  </w:style>
  <w:style w:type="character" w:customStyle="1" w:styleId="BodyText3Char">
    <w:name w:val="Body Text 3 Char"/>
    <w:basedOn w:val="DefaultParagraphFont"/>
    <w:link w:val="BodyText3"/>
    <w:uiPriority w:val="99"/>
    <w:rsid w:val="00CC5B8C"/>
    <w:rPr>
      <w:rFonts w:ascii="Times New Roman" w:eastAsia="Times New Roman" w:hAnsi="Times New Roman"/>
      <w:sz w:val="16"/>
      <w:szCs w:val="16"/>
    </w:rPr>
  </w:style>
  <w:style w:type="paragraph" w:styleId="BodyText2">
    <w:name w:val="Body Text 2"/>
    <w:basedOn w:val="Normal"/>
    <w:link w:val="BodyText2Char"/>
    <w:uiPriority w:val="99"/>
    <w:unhideWhenUsed/>
    <w:rsid w:val="002B1419"/>
    <w:pPr>
      <w:spacing w:after="120" w:line="480" w:lineRule="auto"/>
    </w:pPr>
  </w:style>
  <w:style w:type="character" w:customStyle="1" w:styleId="BodyText2Char">
    <w:name w:val="Body Text 2 Char"/>
    <w:basedOn w:val="DefaultParagraphFont"/>
    <w:link w:val="BodyText2"/>
    <w:uiPriority w:val="99"/>
    <w:rsid w:val="002B1419"/>
    <w:rPr>
      <w:rFonts w:ascii="Times New Roman" w:eastAsia="Times New Roman" w:hAnsi="Times New Roman"/>
      <w:sz w:val="20"/>
      <w:szCs w:val="20"/>
    </w:rPr>
  </w:style>
  <w:style w:type="character" w:customStyle="1" w:styleId="Heading3Char">
    <w:name w:val="Heading 3 Char"/>
    <w:basedOn w:val="DefaultParagraphFont"/>
    <w:link w:val="Heading3"/>
    <w:uiPriority w:val="9"/>
    <w:semiHidden/>
    <w:rsid w:val="00A41DAE"/>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4F7D75"/>
    <w:pPr>
      <w:ind w:left="720"/>
      <w:contextualSpacing/>
    </w:pPr>
  </w:style>
  <w:style w:type="paragraph" w:styleId="PlainText">
    <w:name w:val="Plain Text"/>
    <w:basedOn w:val="Normal"/>
    <w:link w:val="PlainTextChar"/>
    <w:uiPriority w:val="99"/>
    <w:semiHidden/>
    <w:unhideWhenUsed/>
    <w:rsid w:val="00D0365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0365E"/>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165">
      <w:bodyDiv w:val="1"/>
      <w:marLeft w:val="0"/>
      <w:marRight w:val="0"/>
      <w:marTop w:val="0"/>
      <w:marBottom w:val="0"/>
      <w:divBdr>
        <w:top w:val="none" w:sz="0" w:space="0" w:color="auto"/>
        <w:left w:val="none" w:sz="0" w:space="0" w:color="auto"/>
        <w:bottom w:val="none" w:sz="0" w:space="0" w:color="auto"/>
        <w:right w:val="none" w:sz="0" w:space="0" w:color="auto"/>
      </w:divBdr>
    </w:div>
    <w:div w:id="475685587">
      <w:bodyDiv w:val="1"/>
      <w:marLeft w:val="0"/>
      <w:marRight w:val="0"/>
      <w:marTop w:val="0"/>
      <w:marBottom w:val="0"/>
      <w:divBdr>
        <w:top w:val="none" w:sz="0" w:space="0" w:color="auto"/>
        <w:left w:val="none" w:sz="0" w:space="0" w:color="auto"/>
        <w:bottom w:val="none" w:sz="0" w:space="0" w:color="auto"/>
        <w:right w:val="none" w:sz="0" w:space="0" w:color="auto"/>
      </w:divBdr>
    </w:div>
    <w:div w:id="10094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sFu\AppData\Roaming\Microsoft\Templates\B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C1F08-E2F4-4868-83F3-3D627E62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 Letterhead</Template>
  <TotalTime>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 McGown</dc:creator>
  <cp:keywords>Vacancy;Department Description;Humanities</cp:keywords>
  <cp:lastModifiedBy>Claire Allsopp</cp:lastModifiedBy>
  <cp:revision>3</cp:revision>
  <cp:lastPrinted>2016-11-29T11:12:00Z</cp:lastPrinted>
  <dcterms:created xsi:type="dcterms:W3CDTF">2017-09-15T13:13:00Z</dcterms:created>
  <dcterms:modified xsi:type="dcterms:W3CDTF">2017-09-18T12:58:00Z</dcterms:modified>
</cp:coreProperties>
</file>