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0A1" w:rsidRDefault="006F00A1" w:rsidP="00D04817">
      <w:pPr>
        <w:pStyle w:val="NoSpacing"/>
        <w:rPr>
          <w:rFonts w:ascii="Tahoma" w:hAnsi="Tahoma" w:cs="Tahoma"/>
          <w:b/>
          <w:sz w:val="21"/>
          <w:szCs w:val="21"/>
        </w:rPr>
      </w:pPr>
    </w:p>
    <w:p w:rsidR="006F00A1" w:rsidRDefault="006F00A1" w:rsidP="006F00A1">
      <w:pPr>
        <w:pStyle w:val="NoSpacing"/>
        <w:jc w:val="center"/>
        <w:rPr>
          <w:rFonts w:ascii="Tahoma" w:hAnsi="Tahoma" w:cs="Tahoma"/>
          <w:b/>
          <w:sz w:val="21"/>
          <w:szCs w:val="21"/>
        </w:rPr>
      </w:pPr>
    </w:p>
    <w:p w:rsidR="006F00A1" w:rsidRDefault="006F00A1" w:rsidP="006F00A1">
      <w:pPr>
        <w:pStyle w:val="NoSpacing"/>
        <w:jc w:val="center"/>
        <w:rPr>
          <w:rFonts w:ascii="Tahoma" w:hAnsi="Tahoma" w:cs="Tahoma"/>
          <w:b/>
          <w:sz w:val="21"/>
          <w:szCs w:val="21"/>
        </w:rPr>
      </w:pPr>
    </w:p>
    <w:p w:rsidR="006F00A1" w:rsidRDefault="006F00A1" w:rsidP="006F00A1">
      <w:pPr>
        <w:pStyle w:val="NoSpacing"/>
        <w:jc w:val="center"/>
        <w:rPr>
          <w:rFonts w:ascii="Tahoma" w:hAnsi="Tahoma" w:cs="Tahoma"/>
          <w:b/>
          <w:sz w:val="21"/>
          <w:szCs w:val="21"/>
        </w:rPr>
      </w:pPr>
    </w:p>
    <w:p w:rsidR="006F00A1" w:rsidRDefault="006F00A1" w:rsidP="006F00A1">
      <w:pPr>
        <w:pStyle w:val="NoSpacing"/>
        <w:jc w:val="center"/>
        <w:rPr>
          <w:rFonts w:ascii="Tahoma" w:hAnsi="Tahoma" w:cs="Tahoma"/>
          <w:b/>
          <w:sz w:val="21"/>
          <w:szCs w:val="21"/>
        </w:rPr>
      </w:pPr>
      <w:r>
        <w:rPr>
          <w:rFonts w:ascii="Tahoma" w:hAnsi="Tahoma" w:cs="Tahoma"/>
          <w:b/>
          <w:sz w:val="21"/>
          <w:szCs w:val="21"/>
        </w:rPr>
        <w:t>Job Description</w:t>
      </w:r>
    </w:p>
    <w:p w:rsidR="006F00A1" w:rsidRDefault="006F00A1" w:rsidP="00D04817">
      <w:pPr>
        <w:pStyle w:val="NoSpacing"/>
        <w:rPr>
          <w:rFonts w:ascii="Tahoma" w:hAnsi="Tahoma" w:cs="Tahoma"/>
          <w:b/>
          <w:sz w:val="21"/>
          <w:szCs w:val="21"/>
        </w:rPr>
      </w:pPr>
    </w:p>
    <w:p w:rsidR="00D04817" w:rsidRPr="00D04817" w:rsidRDefault="00D04817" w:rsidP="00D04817">
      <w:pPr>
        <w:pStyle w:val="NoSpacing"/>
        <w:rPr>
          <w:rFonts w:ascii="Tahoma" w:hAnsi="Tahoma" w:cs="Tahoma"/>
          <w:sz w:val="21"/>
          <w:szCs w:val="21"/>
        </w:rPr>
      </w:pPr>
      <w:r w:rsidRPr="00D04817">
        <w:rPr>
          <w:rFonts w:ascii="Tahoma" w:hAnsi="Tahoma" w:cs="Tahoma"/>
          <w:b/>
          <w:sz w:val="21"/>
          <w:szCs w:val="21"/>
        </w:rPr>
        <w:t xml:space="preserve">Role: </w:t>
      </w:r>
      <w:r w:rsidRPr="00D04817">
        <w:rPr>
          <w:rFonts w:ascii="Tahoma" w:hAnsi="Tahoma" w:cs="Tahoma"/>
          <w:b/>
          <w:sz w:val="21"/>
          <w:szCs w:val="21"/>
        </w:rPr>
        <w:tab/>
      </w:r>
      <w:r w:rsidRPr="00D04817">
        <w:rPr>
          <w:rFonts w:ascii="Tahoma" w:hAnsi="Tahoma" w:cs="Tahoma"/>
          <w:b/>
          <w:sz w:val="21"/>
          <w:szCs w:val="21"/>
        </w:rPr>
        <w:tab/>
      </w:r>
      <w:r w:rsidRPr="00D04817">
        <w:rPr>
          <w:rFonts w:ascii="Tahoma" w:hAnsi="Tahoma" w:cs="Tahoma"/>
          <w:b/>
          <w:sz w:val="21"/>
          <w:szCs w:val="21"/>
        </w:rPr>
        <w:tab/>
      </w:r>
      <w:r>
        <w:rPr>
          <w:rFonts w:ascii="Tahoma" w:hAnsi="Tahoma" w:cs="Tahoma"/>
          <w:sz w:val="21"/>
          <w:szCs w:val="21"/>
        </w:rPr>
        <w:t>Careers Advisor</w:t>
      </w:r>
    </w:p>
    <w:p w:rsidR="00D04817" w:rsidRPr="00D04817" w:rsidRDefault="00D04817" w:rsidP="00D04817">
      <w:pPr>
        <w:pStyle w:val="NoSpacing"/>
        <w:rPr>
          <w:rFonts w:ascii="Tahoma" w:hAnsi="Tahoma" w:cs="Tahoma"/>
          <w:b/>
          <w:sz w:val="21"/>
          <w:szCs w:val="21"/>
        </w:rPr>
      </w:pPr>
    </w:p>
    <w:p w:rsidR="00D04817" w:rsidRPr="006F00A1" w:rsidRDefault="00D04817" w:rsidP="00D04817">
      <w:pPr>
        <w:pStyle w:val="NoSpacing"/>
        <w:rPr>
          <w:rFonts w:ascii="Tahoma" w:hAnsi="Tahoma" w:cs="Tahoma"/>
          <w:sz w:val="21"/>
          <w:szCs w:val="21"/>
        </w:rPr>
      </w:pPr>
      <w:r w:rsidRPr="00D04817">
        <w:rPr>
          <w:rFonts w:ascii="Tahoma" w:hAnsi="Tahoma" w:cs="Tahoma"/>
          <w:b/>
          <w:sz w:val="21"/>
          <w:szCs w:val="21"/>
        </w:rPr>
        <w:t xml:space="preserve">Grade: </w:t>
      </w:r>
      <w:r w:rsidRPr="00D04817">
        <w:rPr>
          <w:rFonts w:ascii="Tahoma" w:hAnsi="Tahoma" w:cs="Tahoma"/>
          <w:b/>
          <w:sz w:val="21"/>
          <w:szCs w:val="21"/>
        </w:rPr>
        <w:tab/>
      </w:r>
      <w:r w:rsidRPr="00D04817">
        <w:rPr>
          <w:rFonts w:ascii="Tahoma" w:hAnsi="Tahoma" w:cs="Tahoma"/>
          <w:b/>
          <w:sz w:val="21"/>
          <w:szCs w:val="21"/>
        </w:rPr>
        <w:tab/>
      </w:r>
      <w:r w:rsidRPr="00D04817">
        <w:rPr>
          <w:rFonts w:ascii="Tahoma" w:hAnsi="Tahoma" w:cs="Tahoma"/>
          <w:sz w:val="21"/>
          <w:szCs w:val="21"/>
        </w:rPr>
        <w:t>NJC APT&amp;C Grade</w:t>
      </w:r>
      <w:r>
        <w:rPr>
          <w:rFonts w:ascii="Tahoma" w:hAnsi="Tahoma" w:cs="Tahoma"/>
          <w:sz w:val="21"/>
          <w:szCs w:val="21"/>
        </w:rPr>
        <w:t xml:space="preserve"> 7</w:t>
      </w:r>
      <w:r w:rsidRPr="00D04817">
        <w:rPr>
          <w:rFonts w:ascii="Tahoma" w:hAnsi="Tahoma" w:cs="Tahoma"/>
          <w:sz w:val="21"/>
          <w:szCs w:val="21"/>
        </w:rPr>
        <w:t xml:space="preserve"> </w:t>
      </w:r>
      <w:r w:rsidRPr="006F00A1">
        <w:rPr>
          <w:rFonts w:ascii="Tahoma" w:hAnsi="Tahoma" w:cs="Tahoma"/>
          <w:sz w:val="21"/>
          <w:szCs w:val="21"/>
        </w:rPr>
        <w:t>(Points 19-25)</w:t>
      </w:r>
    </w:p>
    <w:p w:rsidR="00D04817" w:rsidRPr="00D04817" w:rsidRDefault="00D04817" w:rsidP="00D04817">
      <w:pPr>
        <w:pStyle w:val="NoSpacing"/>
        <w:rPr>
          <w:rFonts w:ascii="Tahoma" w:hAnsi="Tahoma" w:cs="Tahoma"/>
          <w:sz w:val="21"/>
          <w:szCs w:val="21"/>
        </w:rPr>
      </w:pPr>
    </w:p>
    <w:p w:rsidR="00D2741F" w:rsidRPr="00D2741F" w:rsidRDefault="00D04817" w:rsidP="00173B88">
      <w:pPr>
        <w:pStyle w:val="NoSpacing"/>
        <w:rPr>
          <w:rFonts w:ascii="Tahoma" w:hAnsi="Tahoma" w:cs="Tahoma"/>
          <w:sz w:val="21"/>
          <w:szCs w:val="21"/>
        </w:rPr>
      </w:pPr>
      <w:r w:rsidRPr="00D04817">
        <w:rPr>
          <w:rFonts w:ascii="Tahoma" w:hAnsi="Tahoma" w:cs="Tahoma"/>
          <w:b/>
          <w:sz w:val="21"/>
          <w:szCs w:val="21"/>
        </w:rPr>
        <w:t>Salary:</w:t>
      </w:r>
      <w:r w:rsidRPr="00D04817">
        <w:rPr>
          <w:rFonts w:ascii="Tahoma" w:hAnsi="Tahoma" w:cs="Tahoma"/>
          <w:b/>
          <w:sz w:val="21"/>
          <w:szCs w:val="21"/>
        </w:rPr>
        <w:tab/>
      </w:r>
      <w:r w:rsidRPr="00D04817">
        <w:rPr>
          <w:rFonts w:ascii="Tahoma" w:hAnsi="Tahoma" w:cs="Tahoma"/>
          <w:b/>
          <w:sz w:val="21"/>
          <w:szCs w:val="21"/>
        </w:rPr>
        <w:tab/>
      </w:r>
      <w:r w:rsidR="00D2741F">
        <w:rPr>
          <w:rFonts w:ascii="Tahoma" w:hAnsi="Tahoma" w:cs="Tahoma"/>
          <w:sz w:val="21"/>
          <w:szCs w:val="21"/>
        </w:rPr>
        <w:t>Actual Salary £8,397 - £9,746</w:t>
      </w:r>
      <w:r w:rsidR="006660F5">
        <w:rPr>
          <w:rFonts w:ascii="Tahoma" w:hAnsi="Tahoma" w:cs="Tahoma"/>
          <w:sz w:val="21"/>
          <w:szCs w:val="21"/>
        </w:rPr>
        <w:t xml:space="preserve"> </w:t>
      </w:r>
      <w:r w:rsidR="006660F5" w:rsidRPr="006F00A1">
        <w:rPr>
          <w:rFonts w:ascii="Tahoma" w:hAnsi="Tahoma" w:cs="Tahoma"/>
          <w:i/>
          <w:sz w:val="20"/>
          <w:szCs w:val="20"/>
        </w:rPr>
        <w:t>(£12.8547 – £14.9208 per hour)</w:t>
      </w:r>
    </w:p>
    <w:p w:rsidR="00173B88" w:rsidRPr="006F00A1" w:rsidRDefault="00173B88" w:rsidP="00D2741F">
      <w:pPr>
        <w:pStyle w:val="NoSpacing"/>
        <w:ind w:left="1440" w:firstLine="720"/>
        <w:rPr>
          <w:rFonts w:ascii="Tahoma" w:hAnsi="Tahoma" w:cs="Tahoma"/>
          <w:sz w:val="20"/>
          <w:szCs w:val="20"/>
        </w:rPr>
      </w:pPr>
      <w:r w:rsidRPr="00D04817">
        <w:rPr>
          <w:rFonts w:ascii="Tahoma" w:hAnsi="Tahoma" w:cs="Tahoma"/>
          <w:sz w:val="21"/>
          <w:szCs w:val="21"/>
        </w:rPr>
        <w:t>FTE Annual Salary Range £24,799 - £28,785</w:t>
      </w:r>
      <w:r>
        <w:rPr>
          <w:rFonts w:ascii="Tahoma" w:hAnsi="Tahoma" w:cs="Tahoma"/>
          <w:sz w:val="21"/>
          <w:szCs w:val="21"/>
        </w:rPr>
        <w:t xml:space="preserve">  </w:t>
      </w:r>
      <w:r w:rsidR="00D04817" w:rsidRPr="00D04817">
        <w:rPr>
          <w:rFonts w:ascii="Tahoma" w:hAnsi="Tahoma" w:cs="Tahoma"/>
          <w:sz w:val="21"/>
          <w:szCs w:val="21"/>
        </w:rPr>
        <w:tab/>
      </w:r>
    </w:p>
    <w:p w:rsidR="00D04817" w:rsidRPr="00D04817" w:rsidRDefault="00D04817" w:rsidP="00D04817">
      <w:pPr>
        <w:pStyle w:val="NoSpacing"/>
        <w:rPr>
          <w:rFonts w:ascii="Tahoma" w:hAnsi="Tahoma" w:cs="Tahoma"/>
          <w:sz w:val="21"/>
          <w:szCs w:val="21"/>
        </w:rPr>
      </w:pPr>
      <w:r w:rsidRPr="00D04817">
        <w:rPr>
          <w:rFonts w:ascii="Tahoma" w:hAnsi="Tahoma" w:cs="Tahoma"/>
          <w:sz w:val="21"/>
          <w:szCs w:val="21"/>
        </w:rPr>
        <w:tab/>
      </w:r>
      <w:r w:rsidRPr="00D04817">
        <w:rPr>
          <w:rFonts w:ascii="Tahoma" w:hAnsi="Tahoma" w:cs="Tahoma"/>
          <w:sz w:val="21"/>
          <w:szCs w:val="21"/>
        </w:rPr>
        <w:tab/>
      </w:r>
      <w:r w:rsidRPr="00D04817">
        <w:rPr>
          <w:rFonts w:ascii="Tahoma" w:hAnsi="Tahoma" w:cs="Tahoma"/>
          <w:sz w:val="21"/>
          <w:szCs w:val="21"/>
        </w:rPr>
        <w:tab/>
      </w:r>
    </w:p>
    <w:p w:rsidR="006F00A1" w:rsidRPr="00D2741F" w:rsidRDefault="00D04817" w:rsidP="006660F5">
      <w:pPr>
        <w:pStyle w:val="NoSpacing"/>
        <w:ind w:left="2160" w:hanging="2160"/>
        <w:rPr>
          <w:rFonts w:ascii="Tahoma" w:hAnsi="Tahoma" w:cs="Tahoma"/>
          <w:sz w:val="21"/>
          <w:szCs w:val="21"/>
        </w:rPr>
      </w:pPr>
      <w:r w:rsidRPr="00D04817">
        <w:rPr>
          <w:rFonts w:ascii="Tahoma" w:hAnsi="Tahoma" w:cs="Tahoma"/>
          <w:b/>
          <w:sz w:val="21"/>
          <w:szCs w:val="21"/>
        </w:rPr>
        <w:t>Hours:</w:t>
      </w:r>
      <w:r w:rsidRPr="00D04817">
        <w:rPr>
          <w:rFonts w:ascii="Tahoma" w:hAnsi="Tahoma" w:cs="Tahoma"/>
          <w:b/>
          <w:sz w:val="21"/>
          <w:szCs w:val="21"/>
        </w:rPr>
        <w:tab/>
      </w:r>
      <w:r w:rsidR="00D2741F">
        <w:rPr>
          <w:rFonts w:ascii="Tahoma" w:hAnsi="Tahoma" w:cs="Tahoma"/>
          <w:sz w:val="21"/>
          <w:szCs w:val="21"/>
        </w:rPr>
        <w:t>14.5 hours/week, term time only plus one week (39 working weeks/year)</w:t>
      </w:r>
      <w:r w:rsidR="006660F5">
        <w:rPr>
          <w:rFonts w:ascii="Tahoma" w:hAnsi="Tahoma" w:cs="Tahoma"/>
          <w:sz w:val="21"/>
          <w:szCs w:val="21"/>
        </w:rPr>
        <w:t xml:space="preserve"> To be worked over 2 days a week 8:30am to 4:15pm, with a </w:t>
      </w:r>
      <w:proofErr w:type="gramStart"/>
      <w:r w:rsidR="006660F5">
        <w:rPr>
          <w:rFonts w:ascii="Tahoma" w:hAnsi="Tahoma" w:cs="Tahoma"/>
          <w:sz w:val="21"/>
          <w:szCs w:val="21"/>
        </w:rPr>
        <w:t>30 minute</w:t>
      </w:r>
      <w:proofErr w:type="gramEnd"/>
      <w:r w:rsidR="006660F5">
        <w:rPr>
          <w:rFonts w:ascii="Tahoma" w:hAnsi="Tahoma" w:cs="Tahoma"/>
          <w:sz w:val="21"/>
          <w:szCs w:val="21"/>
        </w:rPr>
        <w:t xml:space="preserve"> unpaid break.</w:t>
      </w:r>
    </w:p>
    <w:p w:rsidR="00D04817" w:rsidRPr="00D04817" w:rsidRDefault="00D04817" w:rsidP="00D04817">
      <w:pPr>
        <w:pStyle w:val="NoSpacing"/>
        <w:rPr>
          <w:rFonts w:ascii="Tahoma" w:hAnsi="Tahoma" w:cs="Tahoma"/>
          <w:sz w:val="21"/>
          <w:szCs w:val="21"/>
        </w:rPr>
      </w:pPr>
    </w:p>
    <w:p w:rsidR="006F00A1" w:rsidRPr="00D04817" w:rsidRDefault="00D04817" w:rsidP="006F00A1">
      <w:pPr>
        <w:pStyle w:val="NoSpacing"/>
        <w:ind w:left="2160" w:hanging="2160"/>
        <w:rPr>
          <w:rFonts w:ascii="Tahoma" w:hAnsi="Tahoma" w:cs="Tahoma"/>
          <w:sz w:val="21"/>
          <w:szCs w:val="21"/>
        </w:rPr>
      </w:pPr>
      <w:r w:rsidRPr="00D04817">
        <w:rPr>
          <w:rFonts w:ascii="Tahoma" w:hAnsi="Tahoma" w:cs="Tahoma"/>
          <w:b/>
          <w:sz w:val="21"/>
          <w:szCs w:val="21"/>
        </w:rPr>
        <w:t>Paid Weeks:</w:t>
      </w:r>
      <w:r w:rsidRPr="00D04817">
        <w:rPr>
          <w:rFonts w:ascii="Tahoma" w:hAnsi="Tahoma" w:cs="Tahoma"/>
          <w:sz w:val="21"/>
          <w:szCs w:val="21"/>
        </w:rPr>
        <w:tab/>
      </w:r>
      <w:r w:rsidR="006660F5">
        <w:rPr>
          <w:rFonts w:ascii="Tahoma" w:hAnsi="Tahoma" w:cs="Tahoma"/>
          <w:sz w:val="21"/>
          <w:szCs w:val="21"/>
        </w:rPr>
        <w:t>45.05 weeks per year, made up of 39 working weeks and 6.05 weeks of pro rata holiday, bank holiday and statutory holiday days entitlement.  Salary will be paid over 12 equal monthly payments.</w:t>
      </w:r>
    </w:p>
    <w:p w:rsidR="00D04817" w:rsidRPr="00D04817" w:rsidRDefault="00D04817" w:rsidP="00D04817">
      <w:pPr>
        <w:pStyle w:val="NoSpacing"/>
        <w:ind w:left="2160" w:hanging="2160"/>
        <w:rPr>
          <w:rFonts w:ascii="Tahoma" w:hAnsi="Tahoma" w:cs="Tahoma"/>
          <w:sz w:val="21"/>
          <w:szCs w:val="21"/>
        </w:rPr>
      </w:pPr>
    </w:p>
    <w:p w:rsidR="00D04817" w:rsidRPr="00D04817" w:rsidRDefault="00D04817" w:rsidP="00D04817">
      <w:pPr>
        <w:pStyle w:val="NoSpacing"/>
        <w:rPr>
          <w:rFonts w:ascii="Tahoma" w:hAnsi="Tahoma" w:cs="Tahoma"/>
          <w:sz w:val="21"/>
          <w:szCs w:val="21"/>
        </w:rPr>
      </w:pPr>
      <w:r w:rsidRPr="00D04817">
        <w:rPr>
          <w:rFonts w:ascii="Tahoma" w:hAnsi="Tahoma" w:cs="Tahoma"/>
          <w:b/>
          <w:sz w:val="21"/>
          <w:szCs w:val="21"/>
        </w:rPr>
        <w:t>Start Date:</w:t>
      </w:r>
      <w:r w:rsidRPr="00D04817">
        <w:rPr>
          <w:rFonts w:ascii="Tahoma" w:hAnsi="Tahoma" w:cs="Tahoma"/>
          <w:sz w:val="21"/>
          <w:szCs w:val="21"/>
        </w:rPr>
        <w:tab/>
      </w:r>
      <w:r w:rsidRPr="00D04817">
        <w:rPr>
          <w:rFonts w:ascii="Tahoma" w:hAnsi="Tahoma" w:cs="Tahoma"/>
          <w:sz w:val="21"/>
          <w:szCs w:val="21"/>
        </w:rPr>
        <w:tab/>
      </w:r>
      <w:r w:rsidR="006660F5">
        <w:rPr>
          <w:rFonts w:ascii="Tahoma" w:hAnsi="Tahoma" w:cs="Tahoma"/>
          <w:sz w:val="21"/>
          <w:szCs w:val="21"/>
        </w:rPr>
        <w:t>6</w:t>
      </w:r>
      <w:r w:rsidR="006660F5" w:rsidRPr="006660F5">
        <w:rPr>
          <w:rFonts w:ascii="Tahoma" w:hAnsi="Tahoma" w:cs="Tahoma"/>
          <w:sz w:val="21"/>
          <w:szCs w:val="21"/>
          <w:vertAlign w:val="superscript"/>
        </w:rPr>
        <w:t>th</w:t>
      </w:r>
      <w:r w:rsidR="006660F5">
        <w:rPr>
          <w:rFonts w:ascii="Tahoma" w:hAnsi="Tahoma" w:cs="Tahoma"/>
          <w:sz w:val="21"/>
          <w:szCs w:val="21"/>
        </w:rPr>
        <w:t xml:space="preserve"> January 2020</w:t>
      </w:r>
    </w:p>
    <w:p w:rsidR="00D04817" w:rsidRPr="00D04817" w:rsidRDefault="00D04817" w:rsidP="00D04817">
      <w:pPr>
        <w:pStyle w:val="NoSpacing"/>
        <w:rPr>
          <w:rFonts w:ascii="Tahoma" w:hAnsi="Tahoma" w:cs="Tahoma"/>
          <w:sz w:val="21"/>
          <w:szCs w:val="21"/>
        </w:rPr>
      </w:pPr>
    </w:p>
    <w:p w:rsidR="00D04817" w:rsidRPr="00527E33" w:rsidRDefault="00D04817" w:rsidP="00D04817">
      <w:pPr>
        <w:pStyle w:val="NoSpacing"/>
        <w:rPr>
          <w:rFonts w:ascii="Tahoma" w:hAnsi="Tahoma" w:cs="Tahoma"/>
          <w:sz w:val="21"/>
          <w:szCs w:val="21"/>
        </w:rPr>
      </w:pPr>
      <w:r w:rsidRPr="00D04817">
        <w:rPr>
          <w:rFonts w:ascii="Tahoma" w:hAnsi="Tahoma" w:cs="Tahoma"/>
          <w:b/>
          <w:sz w:val="21"/>
          <w:szCs w:val="21"/>
        </w:rPr>
        <w:t xml:space="preserve">Responsible to: </w:t>
      </w:r>
      <w:r w:rsidRPr="00D04817">
        <w:rPr>
          <w:rFonts w:ascii="Tahoma" w:hAnsi="Tahoma" w:cs="Tahoma"/>
          <w:b/>
          <w:sz w:val="21"/>
          <w:szCs w:val="21"/>
        </w:rPr>
        <w:tab/>
      </w:r>
      <w:bookmarkStart w:id="0" w:name="_GoBack"/>
      <w:bookmarkEnd w:id="0"/>
      <w:r w:rsidR="006660F5">
        <w:rPr>
          <w:rFonts w:ascii="Tahoma" w:hAnsi="Tahoma" w:cs="Tahoma"/>
          <w:sz w:val="21"/>
          <w:szCs w:val="21"/>
        </w:rPr>
        <w:t>Assistant Head Teacher</w:t>
      </w:r>
    </w:p>
    <w:p w:rsidR="00D04817" w:rsidRPr="00D04817" w:rsidRDefault="00D04817" w:rsidP="00D04817">
      <w:pPr>
        <w:pStyle w:val="NoSpacing"/>
        <w:rPr>
          <w:rFonts w:ascii="Tahoma" w:hAnsi="Tahoma" w:cs="Tahoma"/>
          <w:b/>
          <w:sz w:val="21"/>
          <w:szCs w:val="21"/>
        </w:rPr>
      </w:pPr>
    </w:p>
    <w:p w:rsidR="00D04817" w:rsidRDefault="00D04817" w:rsidP="006F00A1">
      <w:pPr>
        <w:pStyle w:val="NoSpacing"/>
        <w:ind w:left="2160" w:hanging="2160"/>
        <w:rPr>
          <w:rFonts w:ascii="Tahoma" w:hAnsi="Tahoma" w:cs="Tahoma"/>
          <w:sz w:val="21"/>
          <w:szCs w:val="21"/>
        </w:rPr>
      </w:pPr>
      <w:r w:rsidRPr="00D04817">
        <w:rPr>
          <w:rFonts w:ascii="Tahoma" w:hAnsi="Tahoma" w:cs="Tahoma"/>
          <w:b/>
          <w:sz w:val="21"/>
          <w:szCs w:val="21"/>
        </w:rPr>
        <w:t>Job Purpose:</w:t>
      </w:r>
      <w:r w:rsidRPr="00D04817">
        <w:rPr>
          <w:rFonts w:ascii="Tahoma" w:hAnsi="Tahoma" w:cs="Tahoma"/>
          <w:b/>
          <w:sz w:val="21"/>
          <w:szCs w:val="21"/>
        </w:rPr>
        <w:tab/>
      </w:r>
      <w:r w:rsidR="00173B88">
        <w:rPr>
          <w:rFonts w:ascii="Tahoma" w:hAnsi="Tahoma" w:cs="Tahoma"/>
          <w:sz w:val="21"/>
          <w:szCs w:val="21"/>
        </w:rPr>
        <w:t>To provide information, advice and guidance to students in Key Stage 3 and 5 in order to help them make realistic choices about future education, training and work.</w:t>
      </w:r>
    </w:p>
    <w:p w:rsidR="00173B88" w:rsidRDefault="00173B88" w:rsidP="006F00A1">
      <w:pPr>
        <w:pStyle w:val="NoSpacing"/>
        <w:ind w:left="2160" w:hanging="2160"/>
      </w:pPr>
    </w:p>
    <w:p w:rsidR="00173B88" w:rsidRPr="00173B88" w:rsidRDefault="00173B88" w:rsidP="006F00A1">
      <w:pPr>
        <w:pStyle w:val="NoSpacing"/>
        <w:ind w:left="2160" w:hanging="2160"/>
        <w:rPr>
          <w:b/>
        </w:rPr>
      </w:pPr>
    </w:p>
    <w:p w:rsidR="00D04817" w:rsidRPr="00173B88" w:rsidRDefault="00173B88">
      <w:pPr>
        <w:rPr>
          <w:rFonts w:ascii="Tahoma" w:hAnsi="Tahoma" w:cs="Tahoma"/>
          <w:b/>
          <w:sz w:val="21"/>
          <w:szCs w:val="21"/>
        </w:rPr>
      </w:pPr>
      <w:r w:rsidRPr="00173B88">
        <w:rPr>
          <w:rFonts w:ascii="Tahoma" w:hAnsi="Tahoma" w:cs="Tahoma"/>
          <w:b/>
          <w:sz w:val="21"/>
          <w:szCs w:val="21"/>
        </w:rPr>
        <w:t>Responsibilities:</w:t>
      </w:r>
    </w:p>
    <w:p w:rsidR="00D04817" w:rsidRPr="00D04817" w:rsidRDefault="00173B88"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262626"/>
          <w:sz w:val="21"/>
          <w:szCs w:val="21"/>
          <w:bdr w:val="none" w:sz="0" w:space="0" w:color="auto" w:frame="1"/>
          <w:lang w:eastAsia="en-GB"/>
        </w:rPr>
        <w:t>Interviewing students in Key stages 3 and 5 on a one-to-one and / or in small groups.</w:t>
      </w:r>
      <w:r w:rsidR="00D04817" w:rsidRPr="00D04817">
        <w:rPr>
          <w:rFonts w:ascii="Tahoma" w:eastAsia="Times New Roman" w:hAnsi="Tahoma" w:cs="Tahoma"/>
          <w:color w:val="262626"/>
          <w:sz w:val="21"/>
          <w:szCs w:val="21"/>
          <w:bdr w:val="none" w:sz="0" w:space="0" w:color="auto" w:frame="1"/>
          <w:lang w:eastAsia="en-GB"/>
        </w:rPr>
        <w:t xml:space="preserve"> </w:t>
      </w:r>
    </w:p>
    <w:p w:rsidR="00D04817" w:rsidRPr="00D04817" w:rsidRDefault="00173B88"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262626"/>
          <w:sz w:val="21"/>
          <w:szCs w:val="21"/>
          <w:bdr w:val="none" w:sz="0" w:space="0" w:color="auto" w:frame="1"/>
          <w:lang w:eastAsia="en-GB"/>
        </w:rPr>
        <w:t>Providing additional support to young people identified as at risk of becoming NEET, with application and interview support.</w:t>
      </w:r>
    </w:p>
    <w:p w:rsidR="00D04817" w:rsidRPr="00D04817" w:rsidRDefault="00173B88"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262626"/>
          <w:sz w:val="21"/>
          <w:szCs w:val="21"/>
          <w:bdr w:val="none" w:sz="0" w:space="0" w:color="auto" w:frame="1"/>
          <w:lang w:eastAsia="en-GB"/>
        </w:rPr>
        <w:t>Providing information, advice and guidance about a range of issues, such as careers, education, employment, training and student finance either directly or in partnership with specialist agencies.</w:t>
      </w:r>
    </w:p>
    <w:p w:rsidR="007437F2" w:rsidRPr="007437F2" w:rsidRDefault="007437F2"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000000"/>
          <w:sz w:val="21"/>
          <w:szCs w:val="21"/>
          <w:lang w:eastAsia="en-GB"/>
        </w:rPr>
        <w:t>Assisting students in gaining the skills required to increase their chances of successful transition from secondary education to higher education, training and employment, for example interview and application skills.</w:t>
      </w:r>
    </w:p>
    <w:p w:rsidR="007437F2" w:rsidRPr="007437F2" w:rsidRDefault="007437F2"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000000"/>
          <w:sz w:val="21"/>
          <w:szCs w:val="21"/>
          <w:lang w:eastAsia="en-GB"/>
        </w:rPr>
        <w:t>To support the Year 8 Options process.</w:t>
      </w:r>
    </w:p>
    <w:p w:rsidR="00D04817" w:rsidRPr="00D04817" w:rsidRDefault="007437F2"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262626"/>
          <w:sz w:val="21"/>
          <w:szCs w:val="21"/>
          <w:bdr w:val="none" w:sz="0" w:space="0" w:color="auto" w:frame="1"/>
          <w:lang w:eastAsia="en-GB"/>
        </w:rPr>
        <w:t>To support students with making applications to higher education and training providers</w:t>
      </w:r>
      <w:r w:rsidR="00D04817" w:rsidRPr="00D04817">
        <w:rPr>
          <w:rFonts w:ascii="Tahoma" w:eastAsia="Times New Roman" w:hAnsi="Tahoma" w:cs="Tahoma"/>
          <w:color w:val="262626"/>
          <w:sz w:val="21"/>
          <w:szCs w:val="21"/>
          <w:bdr w:val="none" w:sz="0" w:space="0" w:color="auto" w:frame="1"/>
          <w:lang w:eastAsia="en-GB"/>
        </w:rPr>
        <w:t>.</w:t>
      </w:r>
    </w:p>
    <w:p w:rsidR="00D04817" w:rsidRPr="00D04817" w:rsidRDefault="007437F2"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262626"/>
          <w:sz w:val="21"/>
          <w:szCs w:val="21"/>
          <w:bdr w:val="none" w:sz="0" w:space="0" w:color="auto" w:frame="1"/>
          <w:lang w:eastAsia="en-GB"/>
        </w:rPr>
        <w:t>Provide advice and guidance on appropriate programmes of study to support a student’s career choices.</w:t>
      </w:r>
    </w:p>
    <w:p w:rsidR="00D04817" w:rsidRPr="00D04817" w:rsidRDefault="007437F2"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262626"/>
          <w:sz w:val="21"/>
          <w:szCs w:val="21"/>
          <w:bdr w:val="none" w:sz="0" w:space="0" w:color="auto" w:frame="1"/>
          <w:lang w:eastAsia="en-GB"/>
        </w:rPr>
        <w:t>Assisting students in drawing up action plans for education and training and supporting them to achieve these goals</w:t>
      </w:r>
      <w:r w:rsidR="00D04817" w:rsidRPr="00D04817">
        <w:rPr>
          <w:rFonts w:ascii="Tahoma" w:eastAsia="Times New Roman" w:hAnsi="Tahoma" w:cs="Tahoma"/>
          <w:color w:val="262626"/>
          <w:sz w:val="21"/>
          <w:szCs w:val="21"/>
          <w:bdr w:val="none" w:sz="0" w:space="0" w:color="auto" w:frame="1"/>
          <w:lang w:eastAsia="en-GB"/>
        </w:rPr>
        <w:t>.</w:t>
      </w:r>
    </w:p>
    <w:p w:rsidR="00D04817" w:rsidRPr="00D04817" w:rsidRDefault="007437F2"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262626"/>
          <w:sz w:val="21"/>
          <w:szCs w:val="21"/>
          <w:bdr w:val="none" w:sz="0" w:space="0" w:color="auto" w:frame="1"/>
          <w:lang w:eastAsia="en-GB"/>
        </w:rPr>
        <w:t>Encouraging and implementing whole-school use of online resources, within discreet careers sessions and within the wider academy curriculum</w:t>
      </w:r>
      <w:r w:rsidR="00D04817" w:rsidRPr="00D04817">
        <w:rPr>
          <w:rFonts w:ascii="Tahoma" w:eastAsia="Times New Roman" w:hAnsi="Tahoma" w:cs="Tahoma"/>
          <w:color w:val="262626"/>
          <w:sz w:val="21"/>
          <w:szCs w:val="21"/>
          <w:bdr w:val="none" w:sz="0" w:space="0" w:color="auto" w:frame="1"/>
          <w:lang w:eastAsia="en-GB"/>
        </w:rPr>
        <w:t>.</w:t>
      </w:r>
    </w:p>
    <w:p w:rsidR="00D04817" w:rsidRPr="00D04817" w:rsidRDefault="007437F2"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262626"/>
          <w:sz w:val="21"/>
          <w:szCs w:val="21"/>
          <w:bdr w:val="none" w:sz="0" w:space="0" w:color="auto" w:frame="1"/>
          <w:lang w:eastAsia="en-GB"/>
        </w:rPr>
        <w:t>Presenting information at open evenings, parent’s evenings and other events.</w:t>
      </w:r>
    </w:p>
    <w:p w:rsidR="00D04817" w:rsidRPr="00D04817" w:rsidRDefault="007437F2"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262626"/>
          <w:sz w:val="21"/>
          <w:szCs w:val="21"/>
          <w:bdr w:val="none" w:sz="0" w:space="0" w:color="auto" w:frame="1"/>
          <w:lang w:eastAsia="en-GB"/>
        </w:rPr>
        <w:t>Liaising with the academy Special Educational Needs Coordinator (SENCO) in supporting the transition of vulnerable students and those with learning difficulties</w:t>
      </w:r>
      <w:r w:rsidR="00D04817" w:rsidRPr="00D04817">
        <w:rPr>
          <w:rFonts w:ascii="Tahoma" w:eastAsia="Times New Roman" w:hAnsi="Tahoma" w:cs="Tahoma"/>
          <w:color w:val="262626"/>
          <w:sz w:val="21"/>
          <w:szCs w:val="21"/>
          <w:bdr w:val="none" w:sz="0" w:space="0" w:color="auto" w:frame="1"/>
          <w:lang w:eastAsia="en-GB"/>
        </w:rPr>
        <w:t>.  </w:t>
      </w:r>
    </w:p>
    <w:p w:rsidR="00D04817" w:rsidRPr="00D04817" w:rsidRDefault="007437F2" w:rsidP="006F00A1">
      <w:pPr>
        <w:numPr>
          <w:ilvl w:val="0"/>
          <w:numId w:val="1"/>
        </w:numPr>
        <w:spacing w:after="0" w:line="300" w:lineRule="exact"/>
        <w:ind w:left="709" w:hanging="357"/>
        <w:textAlignment w:val="baseline"/>
        <w:rPr>
          <w:rFonts w:ascii="Tahoma" w:eastAsia="Times New Roman" w:hAnsi="Tahoma" w:cs="Tahoma"/>
          <w:color w:val="000000"/>
          <w:sz w:val="21"/>
          <w:szCs w:val="21"/>
          <w:lang w:eastAsia="en-GB"/>
        </w:rPr>
      </w:pPr>
      <w:r>
        <w:rPr>
          <w:rFonts w:ascii="Tahoma" w:eastAsia="Times New Roman" w:hAnsi="Tahoma" w:cs="Tahoma"/>
          <w:color w:val="262626"/>
          <w:sz w:val="21"/>
          <w:szCs w:val="21"/>
          <w:bdr w:val="none" w:sz="0" w:space="0" w:color="auto" w:frame="1"/>
          <w:lang w:eastAsia="en-GB"/>
        </w:rPr>
        <w:t>Researching careers, options and support organisations to meet students’ needs</w:t>
      </w:r>
      <w:r w:rsidR="00D04817" w:rsidRPr="00D04817">
        <w:rPr>
          <w:rFonts w:ascii="Tahoma" w:eastAsia="Times New Roman" w:hAnsi="Tahoma" w:cs="Tahoma"/>
          <w:color w:val="262626"/>
          <w:sz w:val="21"/>
          <w:szCs w:val="21"/>
          <w:bdr w:val="none" w:sz="0" w:space="0" w:color="auto" w:frame="1"/>
          <w:lang w:eastAsia="en-GB"/>
        </w:rPr>
        <w:t>.</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Running small group/drop-in sessions or larger presentations on all aspects of careers work.</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lastRenderedPageBreak/>
        <w:t>Liaising and negotiating with other organisations on behalf of students.</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Using ICT for administrative tasks, such as recording interactions with and tracking students.</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Using computer-aided guidance packages, skills assessment tools and personal inventories.</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Planning and organising careers fairs and conventions.</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 xml:space="preserve">To liaise with the </w:t>
      </w:r>
      <w:proofErr w:type="spellStart"/>
      <w:r>
        <w:rPr>
          <w:rFonts w:ascii="Tahoma" w:eastAsia="Times New Roman" w:hAnsi="Tahoma" w:cs="Tahoma"/>
          <w:color w:val="262626"/>
          <w:sz w:val="21"/>
          <w:szCs w:val="21"/>
          <w:bdr w:val="none" w:sz="0" w:space="0" w:color="auto" w:frame="1"/>
          <w:lang w:eastAsia="en-GB"/>
        </w:rPr>
        <w:t>Inspira</w:t>
      </w:r>
      <w:proofErr w:type="spellEnd"/>
      <w:r>
        <w:rPr>
          <w:rFonts w:ascii="Tahoma" w:eastAsia="Times New Roman" w:hAnsi="Tahoma" w:cs="Tahoma"/>
          <w:color w:val="262626"/>
          <w:sz w:val="21"/>
          <w:szCs w:val="21"/>
          <w:bdr w:val="none" w:sz="0" w:space="0" w:color="auto" w:frame="1"/>
          <w:lang w:eastAsia="en-GB"/>
        </w:rPr>
        <w:t xml:space="preserve"> Enterprise Co-ordinator to widen the school careers programme and monitor fulfilment of Gatsby Benchmarks.</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To liaise with Employers to deliver employer contact sessions across the year groups.</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Keeping up to date with labour market information, legislation and professional and academic developments by visiting employers, training providers and training events run by educational and professional bodies.</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Tracking and monitoring progression from Year 11 into higher education, training and employment.</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Attend GCSE results days, parent’s evenings and academy enrichment activities where appropriate.</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Plan a range of external trips and visits to promote aspirational progression destinations to students.</w:t>
      </w:r>
    </w:p>
    <w:p w:rsidR="006C0888" w:rsidRPr="006C0888" w:rsidRDefault="006C0888"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Provide information to students on the possibility of studying abroad.</w:t>
      </w:r>
    </w:p>
    <w:p w:rsidR="00774C2C" w:rsidRPr="00774C2C" w:rsidRDefault="00774C2C" w:rsidP="006F00A1">
      <w:pPr>
        <w:numPr>
          <w:ilvl w:val="0"/>
          <w:numId w:val="1"/>
        </w:numPr>
        <w:spacing w:after="0" w:line="300" w:lineRule="exact"/>
        <w:ind w:left="709" w:hanging="357"/>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Work with external providers to plan and organise the Year 10 Work Experience programme.</w:t>
      </w:r>
    </w:p>
    <w:p w:rsidR="00774C2C" w:rsidRDefault="00774C2C" w:rsidP="00774C2C">
      <w:pPr>
        <w:spacing w:after="0" w:line="300" w:lineRule="exact"/>
        <w:textAlignment w:val="baseline"/>
        <w:rPr>
          <w:rFonts w:ascii="Tahoma" w:eastAsia="Times New Roman" w:hAnsi="Tahoma" w:cs="Tahoma"/>
          <w:color w:val="262626"/>
          <w:sz w:val="21"/>
          <w:szCs w:val="21"/>
          <w:bdr w:val="none" w:sz="0" w:space="0" w:color="auto" w:frame="1"/>
          <w:lang w:eastAsia="en-GB"/>
        </w:rPr>
      </w:pPr>
    </w:p>
    <w:p w:rsidR="00D04817" w:rsidRPr="00D04817" w:rsidRDefault="00774C2C" w:rsidP="00774C2C">
      <w:pPr>
        <w:spacing w:after="0" w:line="300" w:lineRule="exact"/>
        <w:textAlignment w:val="baseline"/>
        <w:rPr>
          <w:rFonts w:ascii="Calibri" w:eastAsia="Times New Roman" w:hAnsi="Calibri" w:cs="Calibri"/>
          <w:color w:val="000000"/>
          <w:sz w:val="21"/>
          <w:szCs w:val="21"/>
          <w:lang w:eastAsia="en-GB"/>
        </w:rPr>
      </w:pPr>
      <w:r>
        <w:rPr>
          <w:rFonts w:ascii="Tahoma" w:eastAsia="Times New Roman" w:hAnsi="Tahoma" w:cs="Tahoma"/>
          <w:color w:val="262626"/>
          <w:sz w:val="21"/>
          <w:szCs w:val="21"/>
          <w:bdr w:val="none" w:sz="0" w:space="0" w:color="auto" w:frame="1"/>
          <w:lang w:eastAsia="en-GB"/>
        </w:rPr>
        <w:t>The Bay Learning Trust is committed to safeguarding and promoting the wellbeing of all children and we expect our staff and volunteers to share this commitment.  The successful candidate will be subject to a Disclosure Barring Service Check.</w:t>
      </w:r>
      <w:r w:rsidR="00D04817" w:rsidRPr="00D04817">
        <w:rPr>
          <w:rFonts w:ascii="Tahoma" w:eastAsia="Times New Roman" w:hAnsi="Tahoma" w:cs="Tahoma"/>
          <w:color w:val="262626"/>
          <w:sz w:val="21"/>
          <w:szCs w:val="21"/>
          <w:bdr w:val="none" w:sz="0" w:space="0" w:color="auto" w:frame="1"/>
          <w:lang w:eastAsia="en-GB"/>
        </w:rPr>
        <w:t xml:space="preserve"> </w:t>
      </w:r>
    </w:p>
    <w:p w:rsidR="00D04817" w:rsidRDefault="00D04817"/>
    <w:sectPr w:rsidR="00D04817" w:rsidSect="006F00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4E28"/>
    <w:multiLevelType w:val="multilevel"/>
    <w:tmpl w:val="3B62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17"/>
    <w:rsid w:val="00173B88"/>
    <w:rsid w:val="004F4FE9"/>
    <w:rsid w:val="00527E33"/>
    <w:rsid w:val="00612A7E"/>
    <w:rsid w:val="006660F5"/>
    <w:rsid w:val="006C0888"/>
    <w:rsid w:val="006F00A1"/>
    <w:rsid w:val="007437F2"/>
    <w:rsid w:val="00774C2C"/>
    <w:rsid w:val="009B19B1"/>
    <w:rsid w:val="00D04817"/>
    <w:rsid w:val="00D2741F"/>
    <w:rsid w:val="00EE5AE4"/>
    <w:rsid w:val="00F3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A6C1"/>
  <w15:chartTrackingRefBased/>
  <w15:docId w15:val="{F72E543A-E905-49AC-9A14-B0A9562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8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04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Tyler-Cole</dc:creator>
  <cp:keywords/>
  <dc:description/>
  <cp:lastModifiedBy>C Houghton</cp:lastModifiedBy>
  <cp:revision>4</cp:revision>
  <dcterms:created xsi:type="dcterms:W3CDTF">2019-10-07T09:23:00Z</dcterms:created>
  <dcterms:modified xsi:type="dcterms:W3CDTF">2019-11-05T11:47:00Z</dcterms:modified>
</cp:coreProperties>
</file>