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134"/>
        <w:gridCol w:w="567"/>
        <w:gridCol w:w="1418"/>
        <w:gridCol w:w="1276"/>
        <w:gridCol w:w="4672"/>
      </w:tblGrid>
      <w:tr w:rsidR="00EF0B77" w:rsidRPr="003F12A6" w14:paraId="78EF7BF2" w14:textId="77777777" w:rsidTr="003F12A6">
        <w:trPr>
          <w:trHeight w:val="70"/>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3F12A6" w:rsidRDefault="00EF0B77" w:rsidP="003F12A6">
            <w:pPr>
              <w:spacing w:before="20" w:after="20"/>
              <w:rPr>
                <w:sz w:val="20"/>
              </w:rPr>
            </w:pPr>
            <w:r w:rsidRPr="003F12A6">
              <w:rPr>
                <w:sz w:val="20"/>
              </w:rPr>
              <w:t>Agency</w:t>
            </w:r>
          </w:p>
        </w:tc>
        <w:tc>
          <w:tcPr>
            <w:tcW w:w="3119"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7434E68A" w:rsidR="00EF0B77" w:rsidRPr="003F12A6" w:rsidRDefault="00310353" w:rsidP="003F12A6">
            <w:pPr>
              <w:spacing w:before="20" w:after="20"/>
              <w:rPr>
                <w:color w:val="808080" w:themeColor="background1" w:themeShade="80"/>
                <w:sz w:val="20"/>
              </w:rPr>
            </w:pPr>
            <w:r w:rsidRPr="003F12A6">
              <w:rPr>
                <w:rFonts w:asciiTheme="minorHAnsi" w:hAnsiTheme="minorHAnsi"/>
                <w:sz w:val="20"/>
              </w:rPr>
              <w:t>Department of Education</w:t>
            </w:r>
          </w:p>
        </w:tc>
        <w:tc>
          <w:tcPr>
            <w:tcW w:w="1276"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3F12A6" w:rsidRDefault="00EF0B77" w:rsidP="003F12A6">
            <w:pPr>
              <w:spacing w:before="20" w:after="20"/>
              <w:rPr>
                <w:sz w:val="20"/>
              </w:rPr>
            </w:pPr>
            <w:r w:rsidRPr="003F12A6">
              <w:rPr>
                <w:sz w:val="20"/>
              </w:rPr>
              <w:t>Work unit</w:t>
            </w:r>
          </w:p>
        </w:tc>
        <w:tc>
          <w:tcPr>
            <w:tcW w:w="4672" w:type="dxa"/>
            <w:tcBorders>
              <w:top w:val="single" w:sz="4" w:space="0" w:color="1F1F5F" w:themeColor="text1"/>
              <w:left w:val="single" w:sz="4" w:space="0" w:color="1F1F5F" w:themeColor="text1"/>
            </w:tcBorders>
            <w:tcMar>
              <w:left w:w="57" w:type="dxa"/>
              <w:right w:w="57" w:type="dxa"/>
            </w:tcMar>
          </w:tcPr>
          <w:p w14:paraId="750C6E46" w14:textId="00974C6C" w:rsidR="00EF0B77" w:rsidRPr="003F12A6" w:rsidRDefault="00D34DD1" w:rsidP="003F12A6">
            <w:pPr>
              <w:spacing w:before="20" w:after="20"/>
              <w:rPr>
                <w:color w:val="808080" w:themeColor="background1" w:themeShade="80"/>
                <w:sz w:val="20"/>
              </w:rPr>
            </w:pPr>
            <w:r w:rsidRPr="003F12A6">
              <w:rPr>
                <w:sz w:val="20"/>
              </w:rPr>
              <w:t>Engagement Programs, Performance and Reporting</w:t>
            </w:r>
          </w:p>
        </w:tc>
      </w:tr>
      <w:tr w:rsidR="00EF0B77" w:rsidRPr="003F12A6" w14:paraId="5AF5FB9C"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3F12A6" w:rsidRDefault="00EF0B77" w:rsidP="003F12A6">
            <w:pPr>
              <w:spacing w:before="20" w:after="20"/>
              <w:rPr>
                <w:sz w:val="20"/>
              </w:rPr>
            </w:pPr>
            <w:r w:rsidRPr="003F12A6">
              <w:rPr>
                <w:sz w:val="20"/>
              </w:rPr>
              <w:t>Job title</w:t>
            </w:r>
          </w:p>
        </w:tc>
        <w:tc>
          <w:tcPr>
            <w:tcW w:w="3119" w:type="dxa"/>
            <w:gridSpan w:val="3"/>
            <w:tcBorders>
              <w:left w:val="single" w:sz="4" w:space="0" w:color="1F1F5F" w:themeColor="text1"/>
              <w:right w:val="single" w:sz="4" w:space="0" w:color="1F1F5F" w:themeColor="text1"/>
            </w:tcBorders>
            <w:tcMar>
              <w:left w:w="57" w:type="dxa"/>
              <w:right w:w="57" w:type="dxa"/>
            </w:tcMar>
          </w:tcPr>
          <w:p w14:paraId="52A09AC0" w14:textId="454C9F3A" w:rsidR="00EF0B77" w:rsidRPr="003F12A6" w:rsidRDefault="00D34DD1" w:rsidP="003F12A6">
            <w:pPr>
              <w:spacing w:before="20" w:after="20"/>
              <w:rPr>
                <w:color w:val="808080" w:themeColor="background1" w:themeShade="80"/>
                <w:sz w:val="20"/>
              </w:rPr>
            </w:pPr>
            <w:r w:rsidRPr="003F12A6">
              <w:rPr>
                <w:sz w:val="20"/>
              </w:rPr>
              <w:t>Education Program Coordinator</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3F12A6" w:rsidRDefault="00EF0B77" w:rsidP="003F12A6">
            <w:pPr>
              <w:spacing w:before="20" w:after="20"/>
              <w:rPr>
                <w:sz w:val="20"/>
              </w:rPr>
            </w:pPr>
            <w:r w:rsidRPr="003F12A6">
              <w:rPr>
                <w:sz w:val="20"/>
              </w:rPr>
              <w:t>Designation</w:t>
            </w:r>
          </w:p>
        </w:tc>
        <w:tc>
          <w:tcPr>
            <w:tcW w:w="4672" w:type="dxa"/>
            <w:tcBorders>
              <w:left w:val="single" w:sz="4" w:space="0" w:color="1F1F5F" w:themeColor="text1"/>
            </w:tcBorders>
            <w:tcMar>
              <w:left w:w="57" w:type="dxa"/>
              <w:right w:w="57" w:type="dxa"/>
            </w:tcMar>
          </w:tcPr>
          <w:p w14:paraId="7D345035" w14:textId="755AC7D8" w:rsidR="00EF0B77" w:rsidRPr="003F12A6" w:rsidRDefault="00EE0F40" w:rsidP="003F12A6">
            <w:pPr>
              <w:spacing w:before="20" w:after="20"/>
              <w:rPr>
                <w:color w:val="808080" w:themeColor="background1" w:themeShade="80"/>
                <w:sz w:val="20"/>
              </w:rPr>
            </w:pPr>
            <w:r w:rsidRPr="003F12A6">
              <w:rPr>
                <w:rFonts w:asciiTheme="minorHAnsi" w:hAnsiTheme="minorHAnsi"/>
                <w:sz w:val="20"/>
              </w:rPr>
              <w:t>Senior Teacher 1</w:t>
            </w:r>
          </w:p>
        </w:tc>
      </w:tr>
      <w:tr w:rsidR="00EE0F40" w:rsidRPr="003F12A6" w14:paraId="662BAEFC"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E0F40" w:rsidRPr="003F12A6" w:rsidRDefault="00EE0F40" w:rsidP="003F12A6">
            <w:pPr>
              <w:spacing w:before="20" w:after="20"/>
              <w:rPr>
                <w:sz w:val="20"/>
              </w:rPr>
            </w:pPr>
            <w:r w:rsidRPr="003F12A6">
              <w:rPr>
                <w:sz w:val="20"/>
              </w:rPr>
              <w:t>Job type</w:t>
            </w:r>
          </w:p>
        </w:tc>
        <w:tc>
          <w:tcPr>
            <w:tcW w:w="3119" w:type="dxa"/>
            <w:gridSpan w:val="3"/>
            <w:tcBorders>
              <w:left w:val="single" w:sz="4" w:space="0" w:color="1F1F5F" w:themeColor="text1"/>
              <w:right w:val="single" w:sz="4" w:space="0" w:color="1F1F5F" w:themeColor="text1"/>
            </w:tcBorders>
            <w:tcMar>
              <w:left w:w="57" w:type="dxa"/>
              <w:right w:w="57" w:type="dxa"/>
            </w:tcMar>
          </w:tcPr>
          <w:p w14:paraId="25E8AF23" w14:textId="2B516C5C" w:rsidR="00EE0F40" w:rsidRPr="003F12A6" w:rsidRDefault="00A80623" w:rsidP="003F12A6">
            <w:pPr>
              <w:spacing w:before="20" w:after="20"/>
              <w:rPr>
                <w:color w:val="808080" w:themeColor="background1" w:themeShade="80"/>
                <w:sz w:val="20"/>
              </w:rPr>
            </w:pPr>
            <w:r w:rsidRPr="003F12A6">
              <w:rPr>
                <w:rFonts w:asciiTheme="minorHAnsi" w:hAnsiTheme="minorHAnsi"/>
                <w:sz w:val="20"/>
              </w:rPr>
              <w:t>Full t</w:t>
            </w:r>
            <w:r w:rsidR="00EE0F40" w:rsidRPr="003F12A6">
              <w:rPr>
                <w:rFonts w:asciiTheme="minorHAnsi" w:hAnsiTheme="minorHAnsi"/>
                <w:sz w:val="20"/>
              </w:rPr>
              <w:t>ime</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E0F40" w:rsidRPr="003F12A6" w:rsidRDefault="00EE0F40" w:rsidP="003F12A6">
            <w:pPr>
              <w:spacing w:before="20" w:after="20"/>
              <w:rPr>
                <w:sz w:val="20"/>
              </w:rPr>
            </w:pPr>
            <w:r w:rsidRPr="003F12A6">
              <w:rPr>
                <w:sz w:val="20"/>
              </w:rPr>
              <w:t>Duration</w:t>
            </w:r>
          </w:p>
        </w:tc>
        <w:tc>
          <w:tcPr>
            <w:tcW w:w="4672" w:type="dxa"/>
            <w:tcBorders>
              <w:left w:val="single" w:sz="4" w:space="0" w:color="1F1F5F" w:themeColor="text1"/>
            </w:tcBorders>
            <w:tcMar>
              <w:left w:w="57" w:type="dxa"/>
              <w:right w:w="57" w:type="dxa"/>
            </w:tcMar>
          </w:tcPr>
          <w:p w14:paraId="3D2C43A4" w14:textId="1DFD1830" w:rsidR="00EE0F40" w:rsidRPr="003F12A6" w:rsidRDefault="00D34DD1" w:rsidP="003F12A6">
            <w:pPr>
              <w:spacing w:before="20" w:after="20"/>
              <w:rPr>
                <w:color w:val="808080" w:themeColor="background1" w:themeShade="80"/>
                <w:sz w:val="20"/>
              </w:rPr>
            </w:pPr>
            <w:r w:rsidRPr="003F12A6">
              <w:rPr>
                <w:sz w:val="20"/>
              </w:rPr>
              <w:t>Ongoing</w:t>
            </w:r>
          </w:p>
        </w:tc>
      </w:tr>
      <w:tr w:rsidR="00EE0F40" w:rsidRPr="003F12A6" w14:paraId="619AA0D2"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19D024" w:rsidR="00EE0F40" w:rsidRPr="003F12A6" w:rsidRDefault="00EE0F40" w:rsidP="003F12A6">
            <w:pPr>
              <w:spacing w:before="20" w:after="20"/>
              <w:rPr>
                <w:sz w:val="20"/>
              </w:rPr>
            </w:pPr>
            <w:r w:rsidRPr="003F12A6">
              <w:rPr>
                <w:sz w:val="20"/>
              </w:rPr>
              <w:t>Salary</w:t>
            </w:r>
            <w:r w:rsidR="00BD6FB2" w:rsidRPr="003F12A6">
              <w:rPr>
                <w:sz w:val="20"/>
              </w:rPr>
              <w:t xml:space="preserve"> </w:t>
            </w:r>
          </w:p>
        </w:tc>
        <w:tc>
          <w:tcPr>
            <w:tcW w:w="3119" w:type="dxa"/>
            <w:gridSpan w:val="3"/>
            <w:tcBorders>
              <w:left w:val="single" w:sz="4" w:space="0" w:color="1F1F5F" w:themeColor="text1"/>
              <w:right w:val="single" w:sz="4" w:space="0" w:color="1F1F5F" w:themeColor="text1"/>
            </w:tcBorders>
            <w:tcMar>
              <w:left w:w="57" w:type="dxa"/>
              <w:right w:w="57" w:type="dxa"/>
            </w:tcMar>
          </w:tcPr>
          <w:p w14:paraId="4E5F7728" w14:textId="6B28A3E6" w:rsidR="00EE0F40" w:rsidRPr="003F12A6" w:rsidRDefault="00963CB7" w:rsidP="003F12A6">
            <w:pPr>
              <w:spacing w:before="20" w:after="20"/>
              <w:rPr>
                <w:sz w:val="20"/>
              </w:rPr>
            </w:pPr>
            <w:r w:rsidRPr="003F12A6">
              <w:rPr>
                <w:sz w:val="20"/>
              </w:rPr>
              <w:t>$133,553</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E0F40" w:rsidRPr="003F12A6" w:rsidRDefault="00EE0F40" w:rsidP="003F12A6">
            <w:pPr>
              <w:spacing w:before="20" w:after="20"/>
              <w:rPr>
                <w:sz w:val="20"/>
              </w:rPr>
            </w:pPr>
            <w:r w:rsidRPr="003F12A6">
              <w:rPr>
                <w:sz w:val="20"/>
              </w:rPr>
              <w:t>Location</w:t>
            </w:r>
          </w:p>
        </w:tc>
        <w:tc>
          <w:tcPr>
            <w:tcW w:w="4672" w:type="dxa"/>
            <w:tcBorders>
              <w:left w:val="single" w:sz="4" w:space="0" w:color="1F1F5F" w:themeColor="text1"/>
            </w:tcBorders>
            <w:tcMar>
              <w:left w:w="57" w:type="dxa"/>
              <w:right w:w="57" w:type="dxa"/>
            </w:tcMar>
          </w:tcPr>
          <w:p w14:paraId="09461B86" w14:textId="0D9DB1D0" w:rsidR="00EE0F40" w:rsidRPr="003F12A6" w:rsidRDefault="00D34DD1" w:rsidP="003F12A6">
            <w:pPr>
              <w:spacing w:before="20" w:after="20"/>
              <w:rPr>
                <w:color w:val="808080" w:themeColor="background1" w:themeShade="80"/>
                <w:sz w:val="20"/>
              </w:rPr>
            </w:pPr>
            <w:r w:rsidRPr="003F12A6">
              <w:rPr>
                <w:sz w:val="20"/>
              </w:rPr>
              <w:t>Alice Springs</w:t>
            </w:r>
          </w:p>
        </w:tc>
      </w:tr>
      <w:tr w:rsidR="00EE0F40" w:rsidRPr="003F12A6" w14:paraId="5F2A0EC4"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E0F40" w:rsidRPr="003F12A6" w:rsidRDefault="00EE0F40" w:rsidP="003F12A6">
            <w:pPr>
              <w:spacing w:before="20" w:after="20"/>
              <w:rPr>
                <w:sz w:val="20"/>
                <w:lang w:val="en-GB"/>
              </w:rPr>
            </w:pPr>
            <w:r w:rsidRPr="003F12A6">
              <w:rPr>
                <w:sz w:val="20"/>
                <w:lang w:val="en-GB"/>
              </w:rPr>
              <w:t>Position number</w:t>
            </w:r>
          </w:p>
        </w:tc>
        <w:tc>
          <w:tcPr>
            <w:tcW w:w="113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11674F95" w:rsidR="00EE0F40" w:rsidRPr="003F12A6" w:rsidRDefault="00D34DD1" w:rsidP="003F12A6">
            <w:pPr>
              <w:spacing w:before="20" w:after="20"/>
              <w:rPr>
                <w:sz w:val="20"/>
              </w:rPr>
            </w:pPr>
            <w:r w:rsidRPr="003F12A6">
              <w:rPr>
                <w:sz w:val="20"/>
              </w:rPr>
              <w:t>41769</w:t>
            </w:r>
          </w:p>
        </w:tc>
        <w:tc>
          <w:tcPr>
            <w:tcW w:w="567"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E0F40" w:rsidRPr="003F12A6" w:rsidRDefault="00EE0F40" w:rsidP="003F12A6">
            <w:pPr>
              <w:spacing w:before="20" w:after="20"/>
              <w:rPr>
                <w:sz w:val="20"/>
              </w:rPr>
            </w:pPr>
            <w:r w:rsidRPr="003F12A6">
              <w:rPr>
                <w:sz w:val="20"/>
              </w:rPr>
              <w:t>RTF</w:t>
            </w:r>
          </w:p>
        </w:tc>
        <w:tc>
          <w:tcPr>
            <w:tcW w:w="1418"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6FEC577D" w:rsidR="00EE0F40" w:rsidRPr="003F12A6" w:rsidRDefault="00D34DD1" w:rsidP="003F12A6">
            <w:pPr>
              <w:spacing w:before="20" w:after="20"/>
              <w:rPr>
                <w:sz w:val="20"/>
              </w:rPr>
            </w:pPr>
            <w:r w:rsidRPr="003F12A6">
              <w:rPr>
                <w:sz w:val="20"/>
              </w:rPr>
              <w:t>295455</w:t>
            </w:r>
          </w:p>
        </w:tc>
        <w:tc>
          <w:tcPr>
            <w:tcW w:w="1276"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E0F40" w:rsidRPr="003F12A6" w:rsidRDefault="00EE0F40" w:rsidP="003F12A6">
            <w:pPr>
              <w:spacing w:before="20" w:after="20"/>
              <w:rPr>
                <w:sz w:val="20"/>
              </w:rPr>
            </w:pPr>
            <w:r w:rsidRPr="003F12A6">
              <w:rPr>
                <w:sz w:val="20"/>
              </w:rPr>
              <w:t>Closing</w:t>
            </w:r>
          </w:p>
        </w:tc>
        <w:tc>
          <w:tcPr>
            <w:tcW w:w="4672" w:type="dxa"/>
            <w:tcBorders>
              <w:left w:val="single" w:sz="4" w:space="0" w:color="1F1F5F" w:themeColor="text1"/>
              <w:bottom w:val="single" w:sz="4" w:space="0" w:color="BFBFBF" w:themeColor="background1" w:themeShade="BF"/>
            </w:tcBorders>
            <w:tcMar>
              <w:left w:w="57" w:type="dxa"/>
              <w:right w:w="57" w:type="dxa"/>
            </w:tcMar>
          </w:tcPr>
          <w:p w14:paraId="3BF91F14" w14:textId="032BE1A3" w:rsidR="00EE0F40" w:rsidRPr="003F12A6" w:rsidRDefault="003F12A6" w:rsidP="003F12A6">
            <w:pPr>
              <w:spacing w:before="20" w:after="20"/>
              <w:rPr>
                <w:color w:val="808080" w:themeColor="background1" w:themeShade="80"/>
                <w:sz w:val="20"/>
              </w:rPr>
            </w:pPr>
            <w:r w:rsidRPr="003F12A6">
              <w:rPr>
                <w:sz w:val="20"/>
              </w:rPr>
              <w:t>16/05/2024</w:t>
            </w:r>
          </w:p>
        </w:tc>
      </w:tr>
      <w:tr w:rsidR="00EE0F40" w:rsidRPr="003F12A6" w14:paraId="3B261C1C"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69CB951B" w:rsidR="00EE0F40" w:rsidRPr="003F12A6" w:rsidRDefault="00EE0F40" w:rsidP="003F12A6">
            <w:pPr>
              <w:spacing w:before="20" w:after="20"/>
              <w:rPr>
                <w:sz w:val="20"/>
                <w:lang w:val="en-GB"/>
              </w:rPr>
            </w:pPr>
            <w:r w:rsidRPr="003F12A6">
              <w:rPr>
                <w:sz w:val="20"/>
                <w:lang w:val="en-GB"/>
              </w:rPr>
              <w:t>Contact</w:t>
            </w:r>
            <w:r w:rsidR="00A80623" w:rsidRPr="003F12A6">
              <w:rPr>
                <w:sz w:val="20"/>
                <w:lang w:val="en-GB"/>
              </w:rPr>
              <w:t xml:space="preserve"> o</w:t>
            </w:r>
            <w:r w:rsidRPr="003F12A6">
              <w:rPr>
                <w:sz w:val="20"/>
                <w:lang w:val="en-GB"/>
              </w:rPr>
              <w:t>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6DF91EE7" w:rsidR="00EE0F40" w:rsidRPr="003F12A6" w:rsidRDefault="00D34DD1" w:rsidP="003F12A6">
            <w:pPr>
              <w:spacing w:before="20" w:after="20"/>
              <w:rPr>
                <w:color w:val="808080" w:themeColor="background1" w:themeShade="80"/>
                <w:sz w:val="20"/>
              </w:rPr>
            </w:pPr>
            <w:r w:rsidRPr="003F12A6">
              <w:rPr>
                <w:sz w:val="20"/>
              </w:rPr>
              <w:t xml:space="preserve">Katrina Sadowski Director Engagement Programs, Performance and Reporting </w:t>
            </w:r>
            <w:r w:rsidR="003F12A6">
              <w:rPr>
                <w:sz w:val="20"/>
              </w:rPr>
              <w:t xml:space="preserve">at </w:t>
            </w:r>
            <w:hyperlink r:id="rId9" w:history="1">
              <w:r w:rsidR="003F12A6" w:rsidRPr="005F4CF1">
                <w:rPr>
                  <w:rStyle w:val="Hyperlink"/>
                  <w:sz w:val="20"/>
                </w:rPr>
                <w:t>katrina.sadowski@education.nt</w:t>
              </w:r>
              <w:r w:rsidR="003F12A6" w:rsidRPr="005F4CF1">
                <w:rPr>
                  <w:rStyle w:val="Hyperlink"/>
                  <w:sz w:val="20"/>
                </w:rPr>
                <w:t>.</w:t>
              </w:r>
              <w:r w:rsidR="003F12A6" w:rsidRPr="005F4CF1">
                <w:rPr>
                  <w:rStyle w:val="Hyperlink"/>
                  <w:sz w:val="20"/>
                </w:rPr>
                <w:t>gov.au</w:t>
              </w:r>
            </w:hyperlink>
          </w:p>
        </w:tc>
      </w:tr>
      <w:tr w:rsidR="00EE0F40" w:rsidRPr="003F12A6" w14:paraId="1C88AA8C" w14:textId="77777777" w:rsidTr="003F12A6">
        <w:trPr>
          <w:trHeight w:val="70"/>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E0F40" w:rsidRPr="003F12A6" w:rsidRDefault="00EE0F40" w:rsidP="003F12A6">
            <w:pPr>
              <w:spacing w:before="20" w:after="20"/>
              <w:rPr>
                <w:sz w:val="20"/>
                <w:lang w:val="en-GB"/>
              </w:rPr>
            </w:pPr>
            <w:r w:rsidRPr="003F12A6">
              <w:rPr>
                <w:sz w:val="20"/>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B4FAC34" w:rsidR="00EE0F40" w:rsidRPr="003F12A6" w:rsidRDefault="00000000" w:rsidP="003F12A6">
            <w:pPr>
              <w:spacing w:before="20" w:after="20"/>
              <w:rPr>
                <w:color w:val="808080" w:themeColor="background1" w:themeShade="80"/>
                <w:sz w:val="20"/>
              </w:rPr>
            </w:pPr>
            <w:hyperlink r:id="rId10" w:history="1">
              <w:r w:rsidR="00A80623" w:rsidRPr="003F12A6">
                <w:rPr>
                  <w:rStyle w:val="Hyperlink"/>
                  <w:sz w:val="20"/>
                </w:rPr>
                <w:t>https://education.nt.gov.au/</w:t>
              </w:r>
            </w:hyperlink>
            <w:r w:rsidR="00A80623" w:rsidRPr="003F12A6">
              <w:rPr>
                <w:color w:val="808080" w:themeColor="background1" w:themeShade="80"/>
                <w:sz w:val="20"/>
              </w:rPr>
              <w:t xml:space="preserve"> </w:t>
            </w:r>
          </w:p>
        </w:tc>
      </w:tr>
      <w:tr w:rsidR="00EE0F40" w:rsidRPr="003F12A6" w14:paraId="4567092A" w14:textId="77777777" w:rsidTr="003F12A6">
        <w:trPr>
          <w:trHeight w:val="70"/>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E0F40" w:rsidRPr="003F12A6" w:rsidRDefault="00EE0F40" w:rsidP="003F12A6">
            <w:pPr>
              <w:spacing w:before="20" w:after="20"/>
              <w:rPr>
                <w:rFonts w:cs="Arial"/>
                <w:bCs/>
                <w:iCs/>
                <w:sz w:val="20"/>
                <w:lang w:val="en-GB"/>
              </w:rPr>
            </w:pPr>
            <w:r w:rsidRPr="003F12A6">
              <w:rPr>
                <w:sz w:val="20"/>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4EE9CBCE" w:rsidR="00EE0F40" w:rsidRPr="003F12A6" w:rsidRDefault="006F70DC" w:rsidP="003F12A6">
            <w:pPr>
              <w:spacing w:before="20" w:after="20"/>
              <w:rPr>
                <w:color w:val="808080" w:themeColor="background1" w:themeShade="80"/>
                <w:sz w:val="20"/>
              </w:rPr>
            </w:pPr>
            <w:hyperlink r:id="rId11" w:history="1">
              <w:r w:rsidRPr="003F12A6">
                <w:rPr>
                  <w:rStyle w:val="Hyperlink"/>
                  <w:sz w:val="20"/>
                </w:rPr>
                <w:t>https://jobs.nt.gov.au/Home/JobDetails?rtfId=295455</w:t>
              </w:r>
            </w:hyperlink>
            <w:r w:rsidRPr="003F12A6">
              <w:rPr>
                <w:color w:val="808080" w:themeColor="background1" w:themeShade="80"/>
                <w:sz w:val="20"/>
              </w:rPr>
              <w:t xml:space="preserve"> </w:t>
            </w:r>
          </w:p>
        </w:tc>
      </w:tr>
      <w:tr w:rsidR="00EE0F40" w:rsidRPr="003F12A6"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EE0F40" w:rsidRPr="003F12A6" w:rsidRDefault="00EE0F40" w:rsidP="003F12A6">
            <w:pPr>
              <w:pStyle w:val="Heading1"/>
              <w:spacing w:before="20" w:after="20"/>
              <w:rPr>
                <w:color w:val="FFFFFF" w:themeColor="background1"/>
                <w:sz w:val="20"/>
              </w:rPr>
            </w:pPr>
            <w:r w:rsidRPr="003F12A6">
              <w:rPr>
                <w:color w:val="FFFFFF" w:themeColor="background1"/>
                <w:sz w:val="20"/>
              </w:rPr>
              <w:t>APPLICATIONS MUST INCLUDE A ONE-PAGE SUMMARY ABOUT YOU, A DETAILED RESUME AND COPIES OF YOUR TERTIARY QUALIFICATIONS.</w:t>
            </w:r>
          </w:p>
        </w:tc>
      </w:tr>
      <w:tr w:rsidR="00EE0F40" w:rsidRPr="003F12A6"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EE0F40" w:rsidRPr="003F12A6" w:rsidRDefault="00EE0F40" w:rsidP="003F12A6">
            <w:pPr>
              <w:pStyle w:val="Heading1"/>
              <w:spacing w:before="20" w:after="20"/>
              <w:jc w:val="both"/>
              <w:rPr>
                <w:sz w:val="20"/>
              </w:rPr>
            </w:pPr>
            <w:r w:rsidRPr="003F12A6">
              <w:rPr>
                <w:sz w:val="20"/>
              </w:rPr>
              <w:t>Information for applicants – inclusion and diversity and Special Measures recruitment plans</w:t>
            </w:r>
          </w:p>
          <w:p w14:paraId="6A281EB4" w14:textId="77777777" w:rsidR="006F70DC" w:rsidRPr="003F12A6" w:rsidRDefault="00EE0F40" w:rsidP="003F12A6">
            <w:pPr>
              <w:spacing w:before="20" w:after="20"/>
              <w:jc w:val="both"/>
              <w:rPr>
                <w:sz w:val="20"/>
              </w:rPr>
            </w:pPr>
            <w:r w:rsidRPr="003F12A6">
              <w:rPr>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3F12A6">
                <w:rPr>
                  <w:rStyle w:val="Hyperlink"/>
                  <w:sz w:val="20"/>
                </w:rPr>
                <w:t>OCPE website</w:t>
              </w:r>
            </w:hyperlink>
            <w:r w:rsidRPr="003F12A6">
              <w:rPr>
                <w:sz w:val="20"/>
              </w:rPr>
              <w:t>.</w:t>
            </w:r>
            <w:r w:rsidR="00D34DD1" w:rsidRPr="003F12A6">
              <w:rPr>
                <w:sz w:val="20"/>
              </w:rPr>
              <w:t xml:space="preserve"> </w:t>
            </w:r>
          </w:p>
          <w:p w14:paraId="2FBAB85D" w14:textId="7EADBC92" w:rsidR="00EE0F40" w:rsidRPr="003F12A6" w:rsidRDefault="00EE0F40" w:rsidP="003F12A6">
            <w:pPr>
              <w:spacing w:before="20" w:after="20"/>
              <w:jc w:val="both"/>
              <w:rPr>
                <w:sz w:val="20"/>
              </w:rPr>
            </w:pPr>
            <w:r w:rsidRPr="003F12A6">
              <w:rPr>
                <w:sz w:val="20"/>
              </w:rPr>
              <w:t xml:space="preserve">Aboriginal applicants will be granted priority consideration for this vacancy. For more information on Special Measures plans, go to the </w:t>
            </w:r>
            <w:hyperlink r:id="rId13" w:history="1">
              <w:r w:rsidRPr="003F12A6">
                <w:rPr>
                  <w:rStyle w:val="Hyperlink"/>
                  <w:sz w:val="20"/>
                </w:rPr>
                <w:t>OCPE website</w:t>
              </w:r>
            </w:hyperlink>
            <w:r w:rsidRPr="003F12A6">
              <w:rPr>
                <w:sz w:val="20"/>
              </w:rPr>
              <w:t>.</w:t>
            </w:r>
          </w:p>
        </w:tc>
      </w:tr>
    </w:tbl>
    <w:p w14:paraId="0F76A24E" w14:textId="77777777" w:rsidR="00D34DD1" w:rsidRPr="003F12A6" w:rsidRDefault="00D34DD1" w:rsidP="003F12A6">
      <w:pPr>
        <w:pStyle w:val="Heading1"/>
        <w:spacing w:before="120" w:after="60"/>
        <w:jc w:val="both"/>
        <w:rPr>
          <w:sz w:val="20"/>
        </w:rPr>
      </w:pPr>
      <w:r w:rsidRPr="003F12A6">
        <w:rPr>
          <w:sz w:val="20"/>
        </w:rPr>
        <w:t>Primary objective</w:t>
      </w:r>
    </w:p>
    <w:p w14:paraId="553D3FC2" w14:textId="77777777" w:rsidR="00D34DD1" w:rsidRPr="003F12A6" w:rsidRDefault="00D34DD1" w:rsidP="003F12A6">
      <w:pPr>
        <w:jc w:val="both"/>
        <w:rPr>
          <w:sz w:val="20"/>
        </w:rPr>
      </w:pPr>
      <w:bookmarkStart w:id="0" w:name="_Hlk143663384"/>
      <w:r w:rsidRPr="003F12A6">
        <w:rPr>
          <w:sz w:val="20"/>
        </w:rPr>
        <w:t xml:space="preserve">In a multi-disciplinary team, lead complex case management and shared case planning in relation to priority students and students at risk of disengaging from education. Including providing proactive input and quality advice in the development, implementation and evaluation of student engagement approaches focussing on supporting schools to develop plans to engage students, </w:t>
      </w:r>
      <w:proofErr w:type="gramStart"/>
      <w:r w:rsidRPr="003F12A6">
        <w:rPr>
          <w:sz w:val="20"/>
        </w:rPr>
        <w:t>families</w:t>
      </w:r>
      <w:proofErr w:type="gramEnd"/>
      <w:r w:rsidRPr="003F12A6">
        <w:rPr>
          <w:sz w:val="20"/>
        </w:rPr>
        <w:t xml:space="preserve"> and their communities with education.</w:t>
      </w:r>
    </w:p>
    <w:bookmarkEnd w:id="0"/>
    <w:p w14:paraId="29C3E2E0" w14:textId="77777777" w:rsidR="00D34DD1" w:rsidRPr="003F12A6" w:rsidRDefault="00D34DD1" w:rsidP="003F12A6">
      <w:pPr>
        <w:pStyle w:val="Heading1"/>
        <w:spacing w:before="120" w:after="60"/>
        <w:jc w:val="both"/>
        <w:rPr>
          <w:sz w:val="20"/>
        </w:rPr>
      </w:pPr>
      <w:r w:rsidRPr="003F12A6">
        <w:rPr>
          <w:sz w:val="20"/>
        </w:rPr>
        <w:t>Context statement</w:t>
      </w:r>
    </w:p>
    <w:p w14:paraId="5AE36658" w14:textId="77777777" w:rsidR="00D34DD1" w:rsidRPr="003F12A6" w:rsidRDefault="00D34DD1" w:rsidP="003F12A6">
      <w:pPr>
        <w:pStyle w:val="Heading1"/>
        <w:ind w:left="11" w:hanging="11"/>
        <w:jc w:val="both"/>
        <w:rPr>
          <w:rFonts w:cs="Times New Roman"/>
          <w:b w:val="0"/>
          <w:bCs w:val="0"/>
          <w:iCs w:val="0"/>
          <w:color w:val="auto"/>
          <w:sz w:val="20"/>
          <w:lang w:val="en-AU"/>
        </w:rPr>
      </w:pPr>
      <w:r w:rsidRPr="003F12A6">
        <w:rPr>
          <w:rFonts w:cs="Times New Roman"/>
          <w:b w:val="0"/>
          <w:bCs w:val="0"/>
          <w:iCs w:val="0"/>
          <w:color w:val="auto"/>
          <w:sz w:val="20"/>
          <w:lang w:val="en-AU"/>
        </w:rPr>
        <w:t>Engagement Programs, Performance and Reporting is responsible for developing strategic, evidence-based, and data-informed initiatives to re-engage priority students, disengaged and at-risk children and young people with place-based approaches that are culturally appropriate, and trauma informed.</w:t>
      </w:r>
    </w:p>
    <w:p w14:paraId="60DA15EF" w14:textId="77777777" w:rsidR="00D34DD1" w:rsidRPr="003F12A6" w:rsidRDefault="00D34DD1" w:rsidP="003F12A6">
      <w:pPr>
        <w:pStyle w:val="Heading1"/>
        <w:spacing w:before="120" w:after="60"/>
        <w:jc w:val="both"/>
        <w:rPr>
          <w:sz w:val="20"/>
        </w:rPr>
      </w:pPr>
      <w:r w:rsidRPr="003F12A6">
        <w:rPr>
          <w:sz w:val="20"/>
        </w:rPr>
        <w:t>Key duties and responsibilities</w:t>
      </w:r>
    </w:p>
    <w:p w14:paraId="2988551B" w14:textId="77777777" w:rsidR="00D34DD1" w:rsidRPr="003F12A6" w:rsidRDefault="00D34DD1" w:rsidP="003F12A6">
      <w:pPr>
        <w:numPr>
          <w:ilvl w:val="0"/>
          <w:numId w:val="21"/>
        </w:numPr>
        <w:ind w:hanging="284"/>
        <w:jc w:val="both"/>
        <w:rPr>
          <w:sz w:val="20"/>
        </w:rPr>
      </w:pPr>
      <w:r w:rsidRPr="003F12A6">
        <w:rPr>
          <w:sz w:val="20"/>
        </w:rPr>
        <w:t xml:space="preserve">Lead complex case management and shared case planning in relation to disengaged, priority students. </w:t>
      </w:r>
    </w:p>
    <w:p w14:paraId="6E35BA22" w14:textId="3D8FCC60" w:rsidR="00D34DD1" w:rsidRPr="003F12A6" w:rsidRDefault="00D34DD1" w:rsidP="003F12A6">
      <w:pPr>
        <w:numPr>
          <w:ilvl w:val="0"/>
          <w:numId w:val="21"/>
        </w:numPr>
        <w:ind w:hanging="284"/>
        <w:jc w:val="both"/>
        <w:rPr>
          <w:sz w:val="20"/>
        </w:rPr>
      </w:pPr>
      <w:r w:rsidRPr="003F12A6">
        <w:rPr>
          <w:sz w:val="20"/>
        </w:rPr>
        <w:t xml:space="preserve">Undertake best practice, analytical </w:t>
      </w:r>
      <w:proofErr w:type="gramStart"/>
      <w:r w:rsidRPr="003F12A6">
        <w:rPr>
          <w:sz w:val="20"/>
        </w:rPr>
        <w:t>research</w:t>
      </w:r>
      <w:proofErr w:type="gramEnd"/>
      <w:r w:rsidRPr="003F12A6">
        <w:rPr>
          <w:sz w:val="20"/>
        </w:rPr>
        <w:t xml:space="preserve"> and initiate consultation with a wide range of stakeholders to inform the implementation of engagement strategies within a whole of system approach to student engagement.</w:t>
      </w:r>
    </w:p>
    <w:p w14:paraId="1E329594" w14:textId="77777777" w:rsidR="00D34DD1" w:rsidRPr="003F12A6" w:rsidRDefault="00D34DD1" w:rsidP="003F12A6">
      <w:pPr>
        <w:numPr>
          <w:ilvl w:val="0"/>
          <w:numId w:val="21"/>
        </w:numPr>
        <w:ind w:hanging="284"/>
        <w:jc w:val="both"/>
        <w:rPr>
          <w:sz w:val="20"/>
        </w:rPr>
      </w:pPr>
      <w:r w:rsidRPr="003F12A6">
        <w:rPr>
          <w:sz w:val="20"/>
        </w:rPr>
        <w:t>Provide high quality professional advice and best-practice support in the implementation of engagement strategies.</w:t>
      </w:r>
    </w:p>
    <w:p w14:paraId="15A0FF8C" w14:textId="77777777" w:rsidR="00D34DD1" w:rsidRPr="003F12A6" w:rsidRDefault="00D34DD1" w:rsidP="003F12A6">
      <w:pPr>
        <w:numPr>
          <w:ilvl w:val="0"/>
          <w:numId w:val="21"/>
        </w:numPr>
        <w:ind w:hanging="284"/>
        <w:jc w:val="both"/>
        <w:rPr>
          <w:sz w:val="20"/>
        </w:rPr>
      </w:pPr>
      <w:r w:rsidRPr="003F12A6">
        <w:rPr>
          <w:sz w:val="20"/>
        </w:rPr>
        <w:t>Develop and maintain effective strategic partnerships with professional stakeholders at local and national levels including facilitating targets and complex operational practices appropriate to local school needs.</w:t>
      </w:r>
    </w:p>
    <w:p w14:paraId="5C785AD9" w14:textId="77777777" w:rsidR="00D34DD1" w:rsidRPr="003F12A6" w:rsidRDefault="00D34DD1" w:rsidP="003F12A6">
      <w:pPr>
        <w:numPr>
          <w:ilvl w:val="0"/>
          <w:numId w:val="21"/>
        </w:numPr>
        <w:ind w:hanging="284"/>
        <w:jc w:val="both"/>
        <w:rPr>
          <w:sz w:val="20"/>
        </w:rPr>
      </w:pPr>
      <w:r w:rsidRPr="003F12A6">
        <w:rPr>
          <w:sz w:val="20"/>
        </w:rPr>
        <w:t xml:space="preserve">Initiate, </w:t>
      </w:r>
      <w:proofErr w:type="gramStart"/>
      <w:r w:rsidRPr="003F12A6">
        <w:rPr>
          <w:sz w:val="20"/>
        </w:rPr>
        <w:t>prepare</w:t>
      </w:r>
      <w:proofErr w:type="gramEnd"/>
      <w:r w:rsidRPr="003F12A6">
        <w:rPr>
          <w:sz w:val="20"/>
        </w:rPr>
        <w:t xml:space="preserve"> and coordinate correspondence/briefings, submissions, reports and communication materials as well as contribute to high level internal and external reporting on a range of strategic priorities. </w:t>
      </w:r>
    </w:p>
    <w:p w14:paraId="1042317E" w14:textId="77777777" w:rsidR="00D34DD1" w:rsidRPr="003F12A6" w:rsidRDefault="00D34DD1" w:rsidP="003F12A6">
      <w:pPr>
        <w:numPr>
          <w:ilvl w:val="0"/>
          <w:numId w:val="21"/>
        </w:numPr>
        <w:spacing w:after="131"/>
        <w:ind w:hanging="284"/>
        <w:jc w:val="both"/>
        <w:rPr>
          <w:sz w:val="20"/>
        </w:rPr>
      </w:pPr>
      <w:r w:rsidRPr="003F12A6">
        <w:rPr>
          <w:sz w:val="20"/>
        </w:rPr>
        <w:t>Play a key role in the leadership, development and coordination of departmental support and response to inter-agency youth justice programs, such as Back on Track and Youth Diversion Camps/programs throughout the NT.</w:t>
      </w:r>
    </w:p>
    <w:p w14:paraId="56716F83" w14:textId="77777777" w:rsidR="00D34DD1" w:rsidRPr="003F12A6" w:rsidRDefault="00D34DD1" w:rsidP="003F12A6">
      <w:pPr>
        <w:pStyle w:val="Heading1"/>
        <w:spacing w:before="120"/>
        <w:jc w:val="both"/>
        <w:rPr>
          <w:sz w:val="20"/>
        </w:rPr>
      </w:pPr>
      <w:r w:rsidRPr="003F12A6">
        <w:rPr>
          <w:sz w:val="20"/>
        </w:rPr>
        <w:t>Selection criteria</w:t>
      </w:r>
    </w:p>
    <w:p w14:paraId="58CFCC08" w14:textId="77777777" w:rsidR="00D34DD1" w:rsidRPr="003F12A6" w:rsidRDefault="00D34DD1" w:rsidP="003F12A6">
      <w:pPr>
        <w:pStyle w:val="Heading1"/>
        <w:spacing w:before="0" w:after="60"/>
        <w:jc w:val="both"/>
        <w:rPr>
          <w:b w:val="0"/>
          <w:sz w:val="20"/>
        </w:rPr>
      </w:pPr>
      <w:r w:rsidRPr="003F12A6">
        <w:rPr>
          <w:sz w:val="20"/>
        </w:rPr>
        <w:t>Essential</w:t>
      </w:r>
    </w:p>
    <w:p w14:paraId="36D327C6" w14:textId="77777777" w:rsidR="00D34DD1" w:rsidRPr="003F12A6" w:rsidRDefault="00D34DD1" w:rsidP="003F12A6">
      <w:pPr>
        <w:numPr>
          <w:ilvl w:val="0"/>
          <w:numId w:val="22"/>
        </w:numPr>
        <w:ind w:hanging="284"/>
        <w:jc w:val="both"/>
        <w:rPr>
          <w:sz w:val="20"/>
        </w:rPr>
      </w:pPr>
      <w:r w:rsidRPr="003F12A6">
        <w:rPr>
          <w:sz w:val="20"/>
        </w:rPr>
        <w:t>Sound knowledge of the issues associated with and affecting school enrolment, engagement and non-attendance in the Northern Territory context and an understanding of how these issues might impact in diverse cultural context.</w:t>
      </w:r>
    </w:p>
    <w:p w14:paraId="5DA99ABD" w14:textId="77777777" w:rsidR="00D34DD1" w:rsidRPr="003F12A6" w:rsidRDefault="00D34DD1" w:rsidP="003F12A6">
      <w:pPr>
        <w:numPr>
          <w:ilvl w:val="0"/>
          <w:numId w:val="22"/>
        </w:numPr>
        <w:ind w:hanging="284"/>
        <w:jc w:val="both"/>
        <w:rPr>
          <w:sz w:val="20"/>
        </w:rPr>
      </w:pPr>
      <w:r w:rsidRPr="003F12A6">
        <w:rPr>
          <w:sz w:val="20"/>
        </w:rPr>
        <w:t xml:space="preserve">Recent relevant experience in the field of student, </w:t>
      </w:r>
      <w:proofErr w:type="gramStart"/>
      <w:r w:rsidRPr="003F12A6">
        <w:rPr>
          <w:sz w:val="20"/>
        </w:rPr>
        <w:t>family</w:t>
      </w:r>
      <w:proofErr w:type="gramEnd"/>
      <w:r w:rsidRPr="003F12A6">
        <w:rPr>
          <w:sz w:val="20"/>
        </w:rPr>
        <w:t xml:space="preserve"> and community engagement, including planning, development and delivery of implementation frameworks and curriculum, with a particular focus on priority students. </w:t>
      </w:r>
    </w:p>
    <w:p w14:paraId="4EA22D42" w14:textId="77777777" w:rsidR="00D34DD1" w:rsidRPr="003F12A6" w:rsidRDefault="00D34DD1" w:rsidP="003F12A6">
      <w:pPr>
        <w:numPr>
          <w:ilvl w:val="0"/>
          <w:numId w:val="22"/>
        </w:numPr>
        <w:ind w:hanging="284"/>
        <w:jc w:val="both"/>
        <w:rPr>
          <w:sz w:val="20"/>
        </w:rPr>
      </w:pPr>
      <w:r w:rsidRPr="003F12A6">
        <w:rPr>
          <w:sz w:val="20"/>
        </w:rPr>
        <w:t xml:space="preserve">Highly developed interpersonal, </w:t>
      </w:r>
      <w:proofErr w:type="gramStart"/>
      <w:r w:rsidRPr="003F12A6">
        <w:rPr>
          <w:sz w:val="20"/>
        </w:rPr>
        <w:t>oral</w:t>
      </w:r>
      <w:proofErr w:type="gramEnd"/>
      <w:r w:rsidRPr="003F12A6">
        <w:rPr>
          <w:sz w:val="20"/>
        </w:rPr>
        <w:t xml:space="preserve"> and written communication skills with a strong strategic focus including the ability to liaise with senior managers and school communities across regions, build and maintain effective networks and to interact effectively with people from diverse cultures.</w:t>
      </w:r>
    </w:p>
    <w:p w14:paraId="3EAF2CB2" w14:textId="77777777" w:rsidR="00D34DD1" w:rsidRPr="003F12A6" w:rsidRDefault="00D34DD1" w:rsidP="003F12A6">
      <w:pPr>
        <w:numPr>
          <w:ilvl w:val="0"/>
          <w:numId w:val="22"/>
        </w:numPr>
        <w:ind w:hanging="284"/>
        <w:jc w:val="both"/>
        <w:rPr>
          <w:sz w:val="20"/>
        </w:rPr>
      </w:pPr>
      <w:r w:rsidRPr="003F12A6">
        <w:rPr>
          <w:sz w:val="20"/>
        </w:rPr>
        <w:t xml:space="preserve">Demonstrated high-level adaptability and flexibility including demonstrated ability to calmly manage pressure and change in a rapidly evolving environment, and to modify approaches to suit stakeholders in urban and remote school contexts. </w:t>
      </w:r>
    </w:p>
    <w:p w14:paraId="61527BD5" w14:textId="77777777" w:rsidR="00D34DD1" w:rsidRPr="003F12A6" w:rsidRDefault="00D34DD1" w:rsidP="003F12A6">
      <w:pPr>
        <w:numPr>
          <w:ilvl w:val="0"/>
          <w:numId w:val="22"/>
        </w:numPr>
        <w:ind w:hanging="284"/>
        <w:jc w:val="both"/>
        <w:rPr>
          <w:sz w:val="20"/>
        </w:rPr>
      </w:pPr>
      <w:r w:rsidRPr="003F12A6">
        <w:rPr>
          <w:sz w:val="20"/>
        </w:rPr>
        <w:t xml:space="preserve">Demonstrated ability to work independently and as a member of a multi-disciplinary teams to develop systemic processes that lead to high quality outcomes for priority students, </w:t>
      </w:r>
      <w:proofErr w:type="gramStart"/>
      <w:r w:rsidRPr="003F12A6">
        <w:rPr>
          <w:sz w:val="20"/>
        </w:rPr>
        <w:t>youth</w:t>
      </w:r>
      <w:proofErr w:type="gramEnd"/>
      <w:r w:rsidRPr="003F12A6">
        <w:rPr>
          <w:sz w:val="20"/>
        </w:rPr>
        <w:t xml:space="preserve"> and their families.</w:t>
      </w:r>
    </w:p>
    <w:p w14:paraId="34658C0C" w14:textId="77777777" w:rsidR="00D34DD1" w:rsidRPr="003F12A6" w:rsidRDefault="00D34DD1" w:rsidP="003F12A6">
      <w:pPr>
        <w:pStyle w:val="Heading1"/>
        <w:spacing w:before="120" w:after="60"/>
        <w:jc w:val="both"/>
        <w:rPr>
          <w:sz w:val="20"/>
        </w:rPr>
      </w:pPr>
      <w:r w:rsidRPr="003F12A6">
        <w:rPr>
          <w:sz w:val="20"/>
        </w:rPr>
        <w:t>Further information</w:t>
      </w:r>
    </w:p>
    <w:p w14:paraId="1F9F90A2" w14:textId="50A05B43" w:rsidR="00D34DD1" w:rsidRPr="003F12A6" w:rsidRDefault="00D34DD1" w:rsidP="003F12A6">
      <w:pPr>
        <w:spacing w:line="240" w:lineRule="auto"/>
        <w:ind w:left="-15"/>
        <w:jc w:val="both"/>
        <w:rPr>
          <w:sz w:val="20"/>
        </w:rPr>
      </w:pPr>
      <w:r w:rsidRPr="003F12A6">
        <w:rPr>
          <w:sz w:val="20"/>
        </w:rPr>
        <w:t xml:space="preserve">The occupant of this position must be registered, or </w:t>
      </w:r>
      <w:proofErr w:type="gramStart"/>
      <w:r w:rsidRPr="003F12A6">
        <w:rPr>
          <w:sz w:val="20"/>
        </w:rPr>
        <w:t>have the ability to</w:t>
      </w:r>
      <w:proofErr w:type="gramEnd"/>
      <w:r w:rsidRPr="003F12A6">
        <w:rPr>
          <w:sz w:val="20"/>
        </w:rPr>
        <w:t xml:space="preserve"> register, with the Teacher Registration Board of the Northern Territory, have a Working with Children Clearance (Ochre Card) and drivers licence and be able to travel remotely.</w:t>
      </w:r>
    </w:p>
    <w:p w14:paraId="135ACCFA" w14:textId="77777777" w:rsidR="003F12A6" w:rsidRDefault="003F12A6" w:rsidP="003F12A6">
      <w:pPr>
        <w:tabs>
          <w:tab w:val="clear" w:pos="4136"/>
          <w:tab w:val="right" w:pos="10773"/>
        </w:tabs>
        <w:spacing w:after="0"/>
        <w:jc w:val="both"/>
        <w:rPr>
          <w:b/>
          <w:sz w:val="20"/>
        </w:rPr>
      </w:pPr>
    </w:p>
    <w:p w14:paraId="2BB7921E" w14:textId="77777777" w:rsidR="003F12A6" w:rsidRDefault="003F12A6" w:rsidP="003F12A6">
      <w:pPr>
        <w:tabs>
          <w:tab w:val="clear" w:pos="4136"/>
          <w:tab w:val="right" w:pos="10773"/>
        </w:tabs>
        <w:spacing w:after="0"/>
        <w:jc w:val="both"/>
        <w:rPr>
          <w:b/>
          <w:sz w:val="20"/>
        </w:rPr>
      </w:pPr>
    </w:p>
    <w:p w14:paraId="5F1B1B39" w14:textId="77777777" w:rsidR="003F12A6" w:rsidRDefault="003F12A6" w:rsidP="003F12A6">
      <w:pPr>
        <w:tabs>
          <w:tab w:val="clear" w:pos="4136"/>
          <w:tab w:val="right" w:pos="10773"/>
        </w:tabs>
        <w:spacing w:after="0"/>
        <w:jc w:val="both"/>
        <w:rPr>
          <w:b/>
          <w:sz w:val="20"/>
        </w:rPr>
      </w:pPr>
    </w:p>
    <w:p w14:paraId="1A9C3F7A" w14:textId="77777777" w:rsidR="003F12A6" w:rsidRDefault="003F12A6" w:rsidP="003F12A6">
      <w:pPr>
        <w:tabs>
          <w:tab w:val="clear" w:pos="4136"/>
          <w:tab w:val="right" w:pos="10773"/>
        </w:tabs>
        <w:spacing w:after="0"/>
        <w:jc w:val="both"/>
        <w:rPr>
          <w:b/>
          <w:sz w:val="20"/>
        </w:rPr>
      </w:pPr>
    </w:p>
    <w:p w14:paraId="2989AE13" w14:textId="541A6328" w:rsidR="00D34DD1" w:rsidRPr="003F12A6" w:rsidRDefault="00D34DD1" w:rsidP="003F12A6">
      <w:pPr>
        <w:tabs>
          <w:tab w:val="clear" w:pos="4136"/>
          <w:tab w:val="right" w:pos="10773"/>
        </w:tabs>
        <w:spacing w:before="240" w:after="0"/>
        <w:jc w:val="both"/>
        <w:rPr>
          <w:sz w:val="20"/>
        </w:rPr>
      </w:pPr>
      <w:r w:rsidRPr="003F12A6">
        <w:rPr>
          <w:b/>
          <w:sz w:val="20"/>
        </w:rPr>
        <w:t>Approved:</w:t>
      </w:r>
      <w:r w:rsidRPr="003F12A6">
        <w:rPr>
          <w:sz w:val="20"/>
        </w:rPr>
        <w:t xml:space="preserve"> April 2024</w:t>
      </w:r>
      <w:r w:rsidRPr="003F12A6">
        <w:rPr>
          <w:sz w:val="20"/>
        </w:rPr>
        <w:tab/>
        <w:t>Kelly Cooper – Senior Director Student Engagement Programs and Services</w:t>
      </w:r>
    </w:p>
    <w:sectPr w:rsidR="00D34DD1" w:rsidRPr="003F12A6" w:rsidSect="003F12A6">
      <w:headerReference w:type="default" r:id="rId14"/>
      <w:footerReference w:type="default" r:id="rId15"/>
      <w:headerReference w:type="first" r:id="rId16"/>
      <w:footerReference w:type="first" r:id="rId17"/>
      <w:pgSz w:w="11906" w:h="16838" w:code="9"/>
      <w:pgMar w:top="736" w:right="566" w:bottom="851" w:left="56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9562" w14:textId="77777777" w:rsidR="00FA4ED2" w:rsidRDefault="00FA4ED2" w:rsidP="00EF0B77">
      <w:r>
        <w:separator/>
      </w:r>
    </w:p>
  </w:endnote>
  <w:endnote w:type="continuationSeparator" w:id="0">
    <w:p w14:paraId="43A86D20" w14:textId="77777777" w:rsidR="00FA4ED2" w:rsidRDefault="00FA4ED2"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0E8A7573"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D34DD1">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D34DD1">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3374E174"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34DD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34DD1">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1316" w14:textId="77777777" w:rsidR="00FA4ED2" w:rsidRDefault="00FA4ED2" w:rsidP="00EF0B77">
      <w:r>
        <w:separator/>
      </w:r>
    </w:p>
  </w:footnote>
  <w:footnote w:type="continuationSeparator" w:id="0">
    <w:p w14:paraId="4EAAA0C1" w14:textId="77777777" w:rsidR="00FA4ED2" w:rsidRDefault="00FA4ED2"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1FDEE032"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23192700" w:rsidR="00E54F9E" w:rsidRPr="006F70DC" w:rsidRDefault="00784A4B" w:rsidP="00AD61DC">
    <w:pPr>
      <w:pStyle w:val="Title"/>
      <w:rPr>
        <w:szCs w:val="96"/>
      </w:rPr>
    </w:pPr>
    <w:r w:rsidRPr="006F70DC">
      <w:rPr>
        <w:szCs w:val="9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3111B4F"/>
    <w:multiLevelType w:val="hybridMultilevel"/>
    <w:tmpl w:val="E682A6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00069D"/>
    <w:multiLevelType w:val="hybridMultilevel"/>
    <w:tmpl w:val="D47066B0"/>
    <w:lvl w:ilvl="0" w:tplc="FBD26F0A">
      <w:start w:val="1"/>
      <w:numFmt w:val="decimal"/>
      <w:lvlText w:val="%1."/>
      <w:lvlJc w:val="left"/>
      <w:pPr>
        <w:ind w:left="284"/>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1" w:tplc="764824B0">
      <w:start w:val="1"/>
      <w:numFmt w:val="lowerLetter"/>
      <w:lvlText w:val="%2"/>
      <w:lvlJc w:val="left"/>
      <w:pPr>
        <w:ind w:left="10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2" w:tplc="00202484">
      <w:start w:val="1"/>
      <w:numFmt w:val="lowerRoman"/>
      <w:lvlText w:val="%3"/>
      <w:lvlJc w:val="left"/>
      <w:pPr>
        <w:ind w:left="18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3" w:tplc="5254CB26">
      <w:start w:val="1"/>
      <w:numFmt w:val="decimal"/>
      <w:lvlText w:val="%4"/>
      <w:lvlJc w:val="left"/>
      <w:pPr>
        <w:ind w:left="25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4" w:tplc="0492D862">
      <w:start w:val="1"/>
      <w:numFmt w:val="lowerLetter"/>
      <w:lvlText w:val="%5"/>
      <w:lvlJc w:val="left"/>
      <w:pPr>
        <w:ind w:left="324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5" w:tplc="D4045C8A">
      <w:start w:val="1"/>
      <w:numFmt w:val="lowerRoman"/>
      <w:lvlText w:val="%6"/>
      <w:lvlJc w:val="left"/>
      <w:pPr>
        <w:ind w:left="396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6" w:tplc="7862D2AE">
      <w:start w:val="1"/>
      <w:numFmt w:val="decimal"/>
      <w:lvlText w:val="%7"/>
      <w:lvlJc w:val="left"/>
      <w:pPr>
        <w:ind w:left="46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7" w:tplc="0180D37A">
      <w:start w:val="1"/>
      <w:numFmt w:val="lowerLetter"/>
      <w:lvlText w:val="%8"/>
      <w:lvlJc w:val="left"/>
      <w:pPr>
        <w:ind w:left="54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8" w:tplc="7D78EB9E">
      <w:start w:val="1"/>
      <w:numFmt w:val="lowerRoman"/>
      <w:lvlText w:val="%9"/>
      <w:lvlJc w:val="left"/>
      <w:pPr>
        <w:ind w:left="61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76A7519"/>
    <w:multiLevelType w:val="hybridMultilevel"/>
    <w:tmpl w:val="46E04D58"/>
    <w:lvl w:ilvl="0" w:tplc="C1149E7E">
      <w:start w:val="1"/>
      <w:numFmt w:val="decimal"/>
      <w:lvlText w:val="%1."/>
      <w:lvlJc w:val="left"/>
      <w:pPr>
        <w:ind w:left="284"/>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1" w:tplc="EA5A1A62">
      <w:start w:val="1"/>
      <w:numFmt w:val="lowerLetter"/>
      <w:lvlText w:val="%2"/>
      <w:lvlJc w:val="left"/>
      <w:pPr>
        <w:ind w:left="10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2" w:tplc="91D2B692">
      <w:start w:val="1"/>
      <w:numFmt w:val="lowerRoman"/>
      <w:lvlText w:val="%3"/>
      <w:lvlJc w:val="left"/>
      <w:pPr>
        <w:ind w:left="18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3" w:tplc="9F32D7FA">
      <w:start w:val="1"/>
      <w:numFmt w:val="decimal"/>
      <w:lvlText w:val="%4"/>
      <w:lvlJc w:val="left"/>
      <w:pPr>
        <w:ind w:left="25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4" w:tplc="2BB67336">
      <w:start w:val="1"/>
      <w:numFmt w:val="lowerLetter"/>
      <w:lvlText w:val="%5"/>
      <w:lvlJc w:val="left"/>
      <w:pPr>
        <w:ind w:left="324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5" w:tplc="3ABC90F6">
      <w:start w:val="1"/>
      <w:numFmt w:val="lowerRoman"/>
      <w:lvlText w:val="%6"/>
      <w:lvlJc w:val="left"/>
      <w:pPr>
        <w:ind w:left="396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6" w:tplc="CF06ABAC">
      <w:start w:val="1"/>
      <w:numFmt w:val="decimal"/>
      <w:lvlText w:val="%7"/>
      <w:lvlJc w:val="left"/>
      <w:pPr>
        <w:ind w:left="468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7" w:tplc="98C67440">
      <w:start w:val="1"/>
      <w:numFmt w:val="lowerLetter"/>
      <w:lvlText w:val="%8"/>
      <w:lvlJc w:val="left"/>
      <w:pPr>
        <w:ind w:left="540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lvl w:ilvl="8" w:tplc="33468DD6">
      <w:start w:val="1"/>
      <w:numFmt w:val="lowerRoman"/>
      <w:lvlText w:val="%9"/>
      <w:lvlJc w:val="left"/>
      <w:pPr>
        <w:ind w:left="6120"/>
      </w:pPr>
      <w:rPr>
        <w:rFonts w:ascii="Lato" w:eastAsia="Lato" w:hAnsi="Lato" w:cs="Lato"/>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2F01B3F"/>
    <w:multiLevelType w:val="hybridMultilevel"/>
    <w:tmpl w:val="E682A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0F10F08"/>
    <w:multiLevelType w:val="hybridMultilevel"/>
    <w:tmpl w:val="C3542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E624586"/>
    <w:multiLevelType w:val="hybridMultilevel"/>
    <w:tmpl w:val="E682A6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46832866">
    <w:abstractNumId w:val="24"/>
  </w:num>
  <w:num w:numId="2" w16cid:durableId="1514876268">
    <w:abstractNumId w:val="15"/>
  </w:num>
  <w:num w:numId="3" w16cid:durableId="920800569">
    <w:abstractNumId w:val="41"/>
  </w:num>
  <w:num w:numId="4" w16cid:durableId="251665561">
    <w:abstractNumId w:val="28"/>
  </w:num>
  <w:num w:numId="5" w16cid:durableId="839734434">
    <w:abstractNumId w:val="20"/>
  </w:num>
  <w:num w:numId="6" w16cid:durableId="1310476726">
    <w:abstractNumId w:val="11"/>
  </w:num>
  <w:num w:numId="7" w16cid:durableId="1646006261">
    <w:abstractNumId w:val="31"/>
  </w:num>
  <w:num w:numId="8" w16cid:durableId="1231621247">
    <w:abstractNumId w:val="18"/>
  </w:num>
  <w:num w:numId="9" w16cid:durableId="220871541">
    <w:abstractNumId w:val="0"/>
  </w:num>
  <w:num w:numId="10" w16cid:durableId="987825881">
    <w:abstractNumId w:val="6"/>
  </w:num>
  <w:num w:numId="11" w16cid:durableId="745809292">
    <w:abstractNumId w:val="1"/>
  </w:num>
  <w:num w:numId="12" w16cid:durableId="1833566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393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919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13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7429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64670">
    <w:abstractNumId w:val="30"/>
  </w:num>
  <w:num w:numId="18" w16cid:durableId="1114254777">
    <w:abstractNumId w:val="43"/>
  </w:num>
  <w:num w:numId="19" w16cid:durableId="283583794">
    <w:abstractNumId w:val="7"/>
  </w:num>
  <w:num w:numId="20" w16cid:durableId="1057315384">
    <w:abstractNumId w:val="38"/>
  </w:num>
  <w:num w:numId="21" w16cid:durableId="1652639190">
    <w:abstractNumId w:val="19"/>
  </w:num>
  <w:num w:numId="22" w16cid:durableId="190363753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57131"/>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4DB2"/>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24987"/>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0353"/>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1FD5"/>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E6966"/>
    <w:rsid w:val="003F12A6"/>
    <w:rsid w:val="003F2C34"/>
    <w:rsid w:val="003F356A"/>
    <w:rsid w:val="003F5B58"/>
    <w:rsid w:val="0040222A"/>
    <w:rsid w:val="004047BC"/>
    <w:rsid w:val="004100F7"/>
    <w:rsid w:val="00414CB3"/>
    <w:rsid w:val="0041563D"/>
    <w:rsid w:val="004159C8"/>
    <w:rsid w:val="00426E25"/>
    <w:rsid w:val="00427D9C"/>
    <w:rsid w:val="00427E7E"/>
    <w:rsid w:val="0043465D"/>
    <w:rsid w:val="00435082"/>
    <w:rsid w:val="00435EF5"/>
    <w:rsid w:val="00442ADA"/>
    <w:rsid w:val="00443B6E"/>
    <w:rsid w:val="00450636"/>
    <w:rsid w:val="0045420A"/>
    <w:rsid w:val="00455301"/>
    <w:rsid w:val="004554D4"/>
    <w:rsid w:val="0045618E"/>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D612A"/>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6F70DC"/>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370C"/>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55C89"/>
    <w:rsid w:val="009616DF"/>
    <w:rsid w:val="00963CB7"/>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9F7AEC"/>
    <w:rsid w:val="00A00828"/>
    <w:rsid w:val="00A03290"/>
    <w:rsid w:val="00A0387E"/>
    <w:rsid w:val="00A05BFD"/>
    <w:rsid w:val="00A06DD6"/>
    <w:rsid w:val="00A07490"/>
    <w:rsid w:val="00A10145"/>
    <w:rsid w:val="00A10655"/>
    <w:rsid w:val="00A12B64"/>
    <w:rsid w:val="00A149F9"/>
    <w:rsid w:val="00A14F5C"/>
    <w:rsid w:val="00A22C38"/>
    <w:rsid w:val="00A2378E"/>
    <w:rsid w:val="00A25193"/>
    <w:rsid w:val="00A26E80"/>
    <w:rsid w:val="00A31AE8"/>
    <w:rsid w:val="00A34112"/>
    <w:rsid w:val="00A3739D"/>
    <w:rsid w:val="00A37DDA"/>
    <w:rsid w:val="00A45005"/>
    <w:rsid w:val="00A45CC7"/>
    <w:rsid w:val="00A54D22"/>
    <w:rsid w:val="00A567EE"/>
    <w:rsid w:val="00A70DD8"/>
    <w:rsid w:val="00A76790"/>
    <w:rsid w:val="00A80623"/>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6FB2"/>
    <w:rsid w:val="00BD7FE1"/>
    <w:rsid w:val="00BE37CA"/>
    <w:rsid w:val="00BE6144"/>
    <w:rsid w:val="00BE635A"/>
    <w:rsid w:val="00BF17E9"/>
    <w:rsid w:val="00BF2ABB"/>
    <w:rsid w:val="00BF5099"/>
    <w:rsid w:val="00C041D1"/>
    <w:rsid w:val="00C0624C"/>
    <w:rsid w:val="00C10B5E"/>
    <w:rsid w:val="00C10F10"/>
    <w:rsid w:val="00C1156D"/>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5502"/>
    <w:rsid w:val="00CE640F"/>
    <w:rsid w:val="00CE76BC"/>
    <w:rsid w:val="00CF540E"/>
    <w:rsid w:val="00D02F07"/>
    <w:rsid w:val="00D11D08"/>
    <w:rsid w:val="00D15D88"/>
    <w:rsid w:val="00D20905"/>
    <w:rsid w:val="00D27D49"/>
    <w:rsid w:val="00D27EBE"/>
    <w:rsid w:val="00D34DD1"/>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2856"/>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0F40"/>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4FE8"/>
    <w:rsid w:val="00F37E15"/>
    <w:rsid w:val="00F4205B"/>
    <w:rsid w:val="00F5696E"/>
    <w:rsid w:val="00F60EFF"/>
    <w:rsid w:val="00F64E10"/>
    <w:rsid w:val="00F67D2D"/>
    <w:rsid w:val="00F73A54"/>
    <w:rsid w:val="00F858F2"/>
    <w:rsid w:val="00F860CC"/>
    <w:rsid w:val="00F94398"/>
    <w:rsid w:val="00FA113D"/>
    <w:rsid w:val="00FA4ED2"/>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styleId="UnresolvedMention">
    <w:name w:val="Unresolved Mention"/>
    <w:basedOn w:val="DefaultParagraphFont"/>
    <w:uiPriority w:val="99"/>
    <w:semiHidden/>
    <w:unhideWhenUsed/>
    <w:rsid w:val="006F7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 w:id="2033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545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trina.sadowski@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C0C39-142A-45B8-B9E7-9384B20E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4421</Characters>
  <Application>Microsoft Office Word</Application>
  <DocSecurity>0</DocSecurity>
  <Lines>83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2024-05-01T02:02:00Z</dcterms:created>
  <dcterms:modified xsi:type="dcterms:W3CDTF">2024-05-01T02:05:00Z</dcterms:modified>
</cp:coreProperties>
</file>