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Resources and Media Assistant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Grade C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37 Hours &amp; 40 Weeks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Job Description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Responsible to: Director of Corporate Services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Job Purpose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provide a high quality and cost effective reprographic service to staff and students within specified timescales. To advise and assist staff and students with their reprographic requirements. To assist with a range of marketing materials in both print and digital form and to coordinate events held at the school.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Main duties and responsibilities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Accountabilities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a wide range of printed materials, including bulk photocopying, booklet-making, laminating, and binding.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Design and print school prospectus, forms, leaflets, promotional material and certificates.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Scan documents and convert/manipulate files and images if required.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 with updating and maintaining the Trust’s websites when required.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Assist with publishing news articles on social media platforms.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Manage user accounts and recharge costs on a monthly basis to departments.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Monitor stock levels of paper, toner and other reprographic materials and order supplies as required.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Liaise with suppliers with regard to maintenance of copying equipment, ensure timely maintenance of machines and make recommendations to the procurement of equipment.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Coordinate events on site including liaising with the Senior Management Team, IT and Site teams regarding the programme, developing and printing materials, booking refreshments and ensuring the event runs smoothly.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Seek ways to reduce costs on an ongoing basis.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 and participate in relevant meetings and training/development activities as required.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Maintain a high standard of service.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Undertake other duties as directed and commensurate with the grading of the role.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Trust Standards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 at all times in accordance with appropriate legislation and regulations, codes of practice, the provisions of the Trust’s Code of Practice and its policies and procedures.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 within the requirements of the Trust’s Health and Safety policy, performance standards, safe systems of work and procedures.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Undertake all duties with due regard to the Trust’s equalities policy and relevant legislation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/>
      <w:pgMar w:bottom="1440" w:top="709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409575</wp:posOffset>
          </wp:positionV>
          <wp:extent cx="1419225" cy="1419225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304800</wp:posOffset>
          </wp:positionV>
          <wp:extent cx="1276350" cy="1630998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16309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