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E68D" w14:textId="77777777" w:rsidR="00AA751B" w:rsidRPr="00A67E23" w:rsidRDefault="00AA751B" w:rsidP="00AA751B">
      <w:pPr>
        <w:pStyle w:val="Subtitle"/>
        <w:rPr>
          <w:rFonts w:asciiTheme="minorHAnsi" w:eastAsiaTheme="minorHAnsi" w:hAnsiTheme="minorHAnsi"/>
          <w:b/>
          <w:color w:val="auto"/>
          <w:sz w:val="22"/>
          <w:szCs w:val="22"/>
          <w:lang w:eastAsia="en-US"/>
        </w:rPr>
      </w:pPr>
      <w:bookmarkStart w:id="0" w:name="_GoBack"/>
      <w:bookmarkEnd w:id="0"/>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3CE2E6F5" wp14:editId="3CE2E6F6">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14:paraId="3CE2E68E" w14:textId="77777777"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14:paraId="3CE2E68F"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0"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1"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2"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14:paraId="3CE2E693" w14:textId="77777777" w:rsidR="00AA751B" w:rsidRPr="00A67E23" w:rsidRDefault="00AA751B" w:rsidP="00AA751B">
      <w:pPr>
        <w:spacing w:line="276" w:lineRule="auto"/>
        <w:ind w:right="-330"/>
        <w:jc w:val="both"/>
        <w:rPr>
          <w:rFonts w:asciiTheme="minorHAnsi" w:hAnsiTheme="minorHAnsi" w:cs="Arial"/>
        </w:rPr>
      </w:pPr>
      <w:r w:rsidRPr="00A67E23">
        <w:rPr>
          <w:rFonts w:asciiTheme="minorHAnsi" w:eastAsiaTheme="minorHAnsi" w:hAnsiTheme="minorHAnsi" w:cstheme="minorBidi"/>
          <w:sz w:val="22"/>
          <w:szCs w:val="22"/>
          <w:lang w:eastAsia="en-US"/>
        </w:rPr>
        <w:t xml:space="preserve">Cognita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14:paraId="3CE2E694"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5"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6"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7"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8"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9"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A"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B"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C"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D"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E"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9F"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A0"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A1"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A2" w14:textId="77777777"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14:paraId="3CE2E6A3" w14:textId="77777777"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14:paraId="3CE2E6A4" w14:textId="77777777"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14:paraId="3CE2E6A5" w14:textId="77777777"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14:paraId="3CE2E6A6"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14:paraId="3CE2E6A7"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14:paraId="3CE2E6A8"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14:paraId="3CE2E6A9"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14:paraId="3CE2E6AA"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14:paraId="3CE2E6AB"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3CE2E6AC"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3CE2E6AD"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14:paraId="3CE2E6AE" w14:textId="77777777"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14:paraId="3CE2E6AF"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14:paraId="3CE2E6B0" w14:textId="77777777"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i.e Headteacher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14:paraId="3CE2E6B1" w14:textId="77777777"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14:paraId="3CE2E6B2" w14:textId="77777777"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14:paraId="3CE2E6B3" w14:textId="77777777"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14:paraId="3CE2E6B4" w14:textId="77777777"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3CE2E6B5" w14:textId="77777777"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 not be accepted from relatives or from those writing solely in the capacity of colleagues or friends. Cognita does not accept ‘open references’.</w:t>
      </w:r>
    </w:p>
    <w:p w14:paraId="3CE2E6B6" w14:textId="77777777"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14:paraId="3CE2E6B7"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currently working with children, your current employer will be asked about disciplinary offences, including disciplinary offences relating to children or young persons (whether the </w:t>
      </w:r>
      <w:r w:rsidRPr="00A67E23">
        <w:rPr>
          <w:rFonts w:asciiTheme="minorHAnsi" w:eastAsiaTheme="minorHAnsi" w:hAnsiTheme="minorHAnsi" w:cstheme="minorBidi"/>
          <w:sz w:val="22"/>
          <w:szCs w:val="22"/>
          <w:lang w:eastAsia="en-US"/>
        </w:rPr>
        <w:lastRenderedPageBreak/>
        <w:t>disciplinary sanction is current or time expired), and whether you have been the subject of any child protection allegations or concerns and if so, the outcome of any enquiry or disciplinary procedure.</w:t>
      </w:r>
    </w:p>
    <w:p w14:paraId="3CE2E6B8" w14:textId="77777777"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14:paraId="3CE2E6B9"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3CE2E6BA" w14:textId="77777777"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14:paraId="3CE2E6BB" w14:textId="77777777"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14:paraId="3CE2E6BC" w14:textId="77777777"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14:paraId="3CE2E6BD" w14:textId="77777777"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14:paraId="3CE2E6BE" w14:textId="77777777"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14:paraId="3CE2E6BF"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3CE2E6C0" w14:textId="77777777"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14:paraId="3CE2E6C1" w14:textId="77777777"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14:paraId="3CE2E6C2" w14:textId="77777777"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14:paraId="3CE2E6C3"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14:paraId="3CE2E6C4" w14:textId="77777777"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14:paraId="3CE2E6C5" w14:textId="77777777"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14:paraId="3CE2E6C6" w14:textId="77777777"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14:paraId="3CE2E6C7" w14:textId="77777777" w:rsidR="00AA751B" w:rsidRPr="00A67E23" w:rsidRDefault="00AA751B" w:rsidP="00AA751B">
      <w:pPr>
        <w:ind w:left="1080" w:right="-330"/>
        <w:jc w:val="both"/>
        <w:rPr>
          <w:rFonts w:asciiTheme="minorHAnsi" w:hAnsiTheme="minorHAnsi"/>
          <w:sz w:val="22"/>
          <w:szCs w:val="22"/>
        </w:rPr>
      </w:pPr>
    </w:p>
    <w:p w14:paraId="3CE2E6C8" w14:textId="77777777"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14:paraId="3CE2E6C9" w14:textId="77777777" w:rsidR="00AA751B" w:rsidRDefault="00AA751B" w:rsidP="00AA751B">
      <w:pPr>
        <w:ind w:left="360" w:right="-330"/>
        <w:jc w:val="both"/>
        <w:rPr>
          <w:rFonts w:asciiTheme="minorHAnsi" w:hAnsiTheme="minorHAnsi"/>
          <w:sz w:val="22"/>
          <w:szCs w:val="22"/>
        </w:rPr>
      </w:pPr>
    </w:p>
    <w:p w14:paraId="3CE2E6CA" w14:textId="77777777" w:rsidR="00A67E23" w:rsidRPr="00A67E23" w:rsidRDefault="00A67E23" w:rsidP="00AA751B">
      <w:pPr>
        <w:ind w:left="360" w:right="-330"/>
        <w:jc w:val="both"/>
        <w:rPr>
          <w:rFonts w:asciiTheme="minorHAnsi" w:hAnsiTheme="minorHAnsi"/>
          <w:sz w:val="22"/>
          <w:szCs w:val="22"/>
        </w:rPr>
      </w:pPr>
    </w:p>
    <w:p w14:paraId="3CE2E6CB"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14:paraId="3CE2E6CC"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14:paraId="3CE2E6CD"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14:paraId="3CE2E6CE" w14:textId="77777777" w:rsidR="00AA751B" w:rsidRDefault="00AA751B" w:rsidP="00AA751B">
      <w:pPr>
        <w:spacing w:line="276" w:lineRule="auto"/>
        <w:ind w:right="-330"/>
        <w:rPr>
          <w:rFonts w:asciiTheme="minorHAnsi" w:eastAsiaTheme="minorHAnsi" w:hAnsiTheme="minorHAnsi" w:cstheme="minorBidi"/>
          <w:sz w:val="22"/>
          <w:szCs w:val="22"/>
          <w:lang w:eastAsia="en-US"/>
        </w:rPr>
      </w:pPr>
    </w:p>
    <w:p w14:paraId="3CE2E6CF" w14:textId="77777777"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14:paraId="3CE2E6D0"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14:paraId="3CE2E6D1"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14:paraId="3CE2E6D2"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w:t>
      </w:r>
      <w:r w:rsidRPr="00A67E23">
        <w:rPr>
          <w:rFonts w:asciiTheme="minorHAnsi" w:eastAsiaTheme="minorHAnsi" w:hAnsiTheme="minorHAnsi" w:cstheme="minorBidi"/>
          <w:sz w:val="22"/>
          <w:szCs w:val="22"/>
          <w:lang w:eastAsia="en-US"/>
        </w:rPr>
        <w:lastRenderedPageBreak/>
        <w:t xml:space="preserve">disclosure to employers and cannot be taken into account. Guidance and criteria on the filtering of these cautions and convictions can be found on the Disclosure and Barring Service website. </w:t>
      </w:r>
    </w:p>
    <w:p w14:paraId="3CE2E6D3" w14:textId="77777777" w:rsidR="00AA751B" w:rsidRDefault="00AA751B" w:rsidP="00AA751B">
      <w:pPr>
        <w:spacing w:line="276" w:lineRule="auto"/>
        <w:ind w:right="-330"/>
        <w:rPr>
          <w:rFonts w:asciiTheme="minorHAnsi" w:eastAsiaTheme="minorHAnsi" w:hAnsiTheme="minorHAnsi" w:cstheme="minorBidi"/>
          <w:b/>
          <w:sz w:val="22"/>
          <w:szCs w:val="22"/>
          <w:lang w:eastAsia="en-US"/>
        </w:rPr>
      </w:pPr>
    </w:p>
    <w:p w14:paraId="3CE2E6D4" w14:textId="77777777"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14:paraId="3CE2E6D5"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14:paraId="3CE2E6D6"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14:paraId="3CE2E6D7"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14:paraId="3CE2E6D8" w14:textId="77777777"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14:paraId="3CE2E6D9"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14:paraId="3CE2E6DA" w14:textId="77777777"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14:paraId="3CE2E6DB" w14:textId="77777777" w:rsidR="00691379" w:rsidRDefault="00691379" w:rsidP="00AA751B">
      <w:pPr>
        <w:spacing w:line="276" w:lineRule="auto"/>
        <w:ind w:right="-330"/>
        <w:rPr>
          <w:rFonts w:asciiTheme="minorHAnsi" w:eastAsiaTheme="minorHAnsi" w:hAnsiTheme="minorHAnsi" w:cstheme="minorBidi"/>
          <w:b/>
          <w:sz w:val="22"/>
          <w:szCs w:val="22"/>
          <w:lang w:eastAsia="en-US"/>
        </w:rPr>
      </w:pPr>
    </w:p>
    <w:p w14:paraId="3CE2E6DC" w14:textId="77777777"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14:paraId="3CE2E6DD"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14:paraId="3CE2E6DE" w14:textId="77777777"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14:paraId="3CE2E6DF" w14:textId="77777777" w:rsidR="00AA751B" w:rsidRPr="00A67E23" w:rsidRDefault="00AA751B" w:rsidP="00AA751B">
      <w:pPr>
        <w:pStyle w:val="Default"/>
        <w:ind w:right="-330"/>
        <w:jc w:val="both"/>
        <w:rPr>
          <w:rFonts w:asciiTheme="minorHAnsi" w:hAnsiTheme="minorHAnsi"/>
          <w:bCs/>
          <w:color w:val="auto"/>
          <w:sz w:val="22"/>
          <w:szCs w:val="22"/>
        </w:rPr>
      </w:pPr>
    </w:p>
    <w:p w14:paraId="3CE2E6E0" w14:textId="77777777"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14:paraId="3CE2E6E1" w14:textId="77777777"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14:paraId="3CE2E6E2" w14:textId="77777777"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14:paraId="3CE2E6E3" w14:textId="77777777"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14:paraId="3CE2E6E4" w14:textId="77777777" w:rsidR="00AA751B" w:rsidRPr="00A67E23" w:rsidRDefault="00AA751B" w:rsidP="00AA751B">
      <w:pPr>
        <w:pStyle w:val="Default"/>
        <w:ind w:right="-330"/>
        <w:jc w:val="both"/>
        <w:rPr>
          <w:rFonts w:asciiTheme="minorHAnsi" w:hAnsiTheme="minorHAnsi"/>
          <w:bCs/>
          <w:color w:val="auto"/>
          <w:sz w:val="22"/>
          <w:szCs w:val="22"/>
        </w:rPr>
      </w:pPr>
    </w:p>
    <w:p w14:paraId="3CE2E6E5" w14:textId="77777777"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14:paraId="3CE2E6E6" w14:textId="77777777" w:rsidR="00AA751B" w:rsidRPr="00A67E23" w:rsidRDefault="00AA751B" w:rsidP="00AA751B">
      <w:pPr>
        <w:pStyle w:val="Default"/>
        <w:ind w:right="-330"/>
        <w:jc w:val="both"/>
        <w:rPr>
          <w:rFonts w:asciiTheme="minorHAnsi" w:hAnsiTheme="minorHAnsi"/>
          <w:bCs/>
          <w:color w:val="auto"/>
          <w:sz w:val="16"/>
          <w:szCs w:val="16"/>
        </w:rPr>
      </w:pPr>
    </w:p>
    <w:p w14:paraId="3CE2E6E7" w14:textId="77777777" w:rsidR="00AA751B" w:rsidRDefault="00AA751B" w:rsidP="00AA751B">
      <w:pPr>
        <w:spacing w:line="276" w:lineRule="auto"/>
        <w:ind w:right="-330"/>
        <w:rPr>
          <w:rFonts w:asciiTheme="minorHAnsi" w:eastAsiaTheme="minorHAnsi" w:hAnsiTheme="minorHAnsi" w:cstheme="minorBidi"/>
          <w:b/>
          <w:sz w:val="16"/>
          <w:szCs w:val="16"/>
          <w:lang w:eastAsia="en-US"/>
        </w:rPr>
      </w:pPr>
    </w:p>
    <w:p w14:paraId="3CE2E6E8" w14:textId="77777777" w:rsidR="00A67E23" w:rsidRDefault="00A67E23" w:rsidP="00A67E23">
      <w:pPr>
        <w:spacing w:line="276" w:lineRule="auto"/>
        <w:ind w:right="-330"/>
        <w:jc w:val="right"/>
        <w:rPr>
          <w:rFonts w:asciiTheme="minorHAnsi" w:eastAsiaTheme="minorHAnsi" w:hAnsiTheme="minorHAnsi" w:cstheme="minorBidi"/>
          <w:b/>
          <w:sz w:val="16"/>
          <w:szCs w:val="16"/>
          <w:lang w:eastAsia="en-US"/>
        </w:rPr>
      </w:pPr>
    </w:p>
    <w:p w14:paraId="3CE2E6E9" w14:textId="77777777"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14:paraId="3CE2E6EA"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Rehabilitation of Offenders Act</w:t>
      </w:r>
    </w:p>
    <w:p w14:paraId="3CE2E6EB"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3CE2E6EC"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14:paraId="3CE2E6ED"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14:paraId="3CE2E6EE"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14:paraId="3CE2E6EF" w14:textId="77777777"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14:paraId="3CE2E6F0" w14:textId="77777777"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14:paraId="3CE2E6F1" w14:textId="77777777"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14:paraId="3CE2E6F2" w14:textId="77777777"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14:paraId="3CE2E6F3" w14:textId="77777777"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14:paraId="3CE2E6F4" w14:textId="77777777"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E6F9" w14:textId="77777777" w:rsidR="009F47D1" w:rsidRDefault="009F47D1" w:rsidP="00AA751B">
      <w:r>
        <w:separator/>
      </w:r>
    </w:p>
  </w:endnote>
  <w:endnote w:type="continuationSeparator" w:id="0">
    <w:p w14:paraId="3CE2E6FA" w14:textId="77777777" w:rsidR="009F47D1" w:rsidRDefault="009F47D1"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E6FC" w14:textId="77777777"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14:paraId="3CE2E6FD"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E6F7" w14:textId="77777777" w:rsidR="009F47D1" w:rsidRDefault="009F47D1" w:rsidP="00AA751B">
      <w:r>
        <w:separator/>
      </w:r>
    </w:p>
  </w:footnote>
  <w:footnote w:type="continuationSeparator" w:id="0">
    <w:p w14:paraId="3CE2E6F8" w14:textId="77777777" w:rsidR="009F47D1" w:rsidRDefault="009F47D1"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E6FB" w14:textId="77777777"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3CE2E6FE" wp14:editId="3CE2E6FF">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809"/>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553"/>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E68D"/>
  <w15:docId w15:val="{3D37D5FD-66FF-4236-A4E1-340341B8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569F5161-2C97-4D84-83D1-9E53BABDEE0D}" type="presOf" srcId="{85B29963-A81E-4853-B47D-19E537BF546B}" destId="{5AEA937F-56FE-4A5B-8C54-52F26BFA2BCF}" srcOrd="0" destOrd="0" presId="urn:microsoft.com/office/officeart/2005/8/layout/chevron1"/>
    <dgm:cxn modelId="{C0713CF2-D247-4B4C-BE25-4708DDAB0DE3}" type="presOf" srcId="{589D38D5-57F1-48B4-A678-1C9FACE9846E}" destId="{33EF80E9-A94E-4F59-BB56-C68ED83BC08C}" srcOrd="0" destOrd="0" presId="urn:microsoft.com/office/officeart/2005/8/layout/chevron1"/>
    <dgm:cxn modelId="{6604E0A6-135B-4829-BC08-B5CB519D26AB}" type="presOf" srcId="{298C6E5C-AF15-4134-BE30-BB5A12BFED3A}" destId="{F319A98C-C9F1-47A1-A7E4-B1E758FB95EE}" srcOrd="0" destOrd="0" presId="urn:microsoft.com/office/officeart/2005/8/layout/chevron1"/>
    <dgm:cxn modelId="{FA60EEC6-0F40-4D92-8B35-02576B6A0FDA}" type="presOf" srcId="{EDBEB6A2-BCF7-44BB-BBAE-EDFEC6BECFAB}" destId="{BDA91871-83DB-4E74-B934-315E1F10D1B7}" srcOrd="0" destOrd="0" presId="urn:microsoft.com/office/officeart/2005/8/layout/chevron1"/>
    <dgm:cxn modelId="{8078750E-1A62-4C40-B27E-E9B559D3AB89}" type="presParOf" srcId="{BDA91871-83DB-4E74-B934-315E1F10D1B7}" destId="{F319A98C-C9F1-47A1-A7E4-B1E758FB95EE}" srcOrd="0" destOrd="0" presId="urn:microsoft.com/office/officeart/2005/8/layout/chevron1"/>
    <dgm:cxn modelId="{738CCAAA-6BAE-486B-BE70-C5F42A2059BF}" type="presParOf" srcId="{BDA91871-83DB-4E74-B934-315E1F10D1B7}" destId="{EBA8C937-9AC9-46C6-9290-B9B0C7213CFE}" srcOrd="1" destOrd="0" presId="urn:microsoft.com/office/officeart/2005/8/layout/chevron1"/>
    <dgm:cxn modelId="{FE2E14A3-243D-4FBD-8D8D-676D7A263DA4}" type="presParOf" srcId="{BDA91871-83DB-4E74-B934-315E1F10D1B7}" destId="{33EF80E9-A94E-4F59-BB56-C68ED83BC08C}" srcOrd="2" destOrd="0" presId="urn:microsoft.com/office/officeart/2005/8/layout/chevron1"/>
    <dgm:cxn modelId="{C1A71E62-B8A5-4275-BE06-3BF7AD36E536}" type="presParOf" srcId="{BDA91871-83DB-4E74-B934-315E1F10D1B7}" destId="{4AEC5925-C997-4F08-A9ED-46A78E4C10CE}" srcOrd="3" destOrd="0" presId="urn:microsoft.com/office/officeart/2005/8/layout/chevron1"/>
    <dgm:cxn modelId="{9CA5F022-45DA-410A-A65E-93DC280EC3DA}"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Value>New Starter</Value>
    </HR_x0020_Catagories>
    <Department_x0028_s_x0029_ xmlns="5af0cb61-9719-4e7e-9494-957e5b20e23a">
      <Value>HR</Value>
    </Department_x0028_s_x0029_>
    <Document_x0020_Type_x0028_s_x0029_ xmlns="5af0cb61-9719-4e7e-9494-957e5b20e23a">
      <Value>Toolkit</Value>
      <Value>Guidance Note</Value>
    </Document_x0020_Type_x0028_s_x0029_>
    <Finance_x0020_Theme xmlns="5af0cb61-9719-4e7e-9494-957e5b20e23a"/>
    <Leaders_x0020_Access_x0020_Only xmlns="5af0cb61-9719-4e7e-9494-957e5b20e23a">No</Leaders_x0020_Access_x0020_Only>
    <HR_x0020_Catagory xmlns="5af0cb61-9719-4e7e-9494-957e5b20e23a">
      <Value>Guidelines</Value>
      <Value>Recruitment and Selection</Value>
      <Value>SCR</Value>
    </HR_x0020_Cata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D0317-D428-430C-8B13-8A10F024E269}">
  <ds:schemaRefs>
    <ds:schemaRef ds:uri="http://schemas.microsoft.com/sharepoint/v3/contenttype/forms"/>
  </ds:schemaRefs>
</ds:datastoreItem>
</file>

<file path=customXml/itemProps2.xml><?xml version="1.0" encoding="utf-8"?>
<ds:datastoreItem xmlns:ds="http://schemas.openxmlformats.org/officeDocument/2006/customXml" ds:itemID="{F8B164CF-B32C-4A58-814E-0E446EE85173}">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5af0cb61-9719-4e7e-9494-957e5b20e23a"/>
    <ds:schemaRef ds:uri="http://purl.org/dc/dcmitype/"/>
    <ds:schemaRef ds:uri="http://schemas.openxmlformats.org/package/2006/metadata/core-properties"/>
    <ds:schemaRef ds:uri="http://schemas.microsoft.com/sharepoint/v3"/>
    <ds:schemaRef ds:uri="3cf4d7a7-f295-49e3-92b7-05c54a24f9f6"/>
    <ds:schemaRef ds:uri="a74f4d0b-554b-4116-b71c-5ad1d3098b4d"/>
    <ds:schemaRef ds:uri="http://schemas.microsoft.com/sharepoint/v4"/>
    <ds:schemaRef ds:uri="http://www.w3.org/XML/1998/namespace"/>
  </ds:schemaRefs>
</ds:datastoreItem>
</file>

<file path=customXml/itemProps3.xml><?xml version="1.0" encoding="utf-8"?>
<ds:datastoreItem xmlns:ds="http://schemas.openxmlformats.org/officeDocument/2006/customXml" ds:itemID="{050B1E7A-DF44-478E-B1D0-5164633E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10.Application Form Guidelines</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10.Application Form Guidelines</dc:title>
  <dc:creator>claire.hinson</dc:creator>
  <cp:lastModifiedBy> </cp:lastModifiedBy>
  <cp:revision>2</cp:revision>
  <dcterms:created xsi:type="dcterms:W3CDTF">2017-10-16T11:59:00Z</dcterms:created>
  <dcterms:modified xsi:type="dcterms:W3CDTF">2017-10-16T11:59:00Z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