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Person Specification – Strategic Network &amp; Data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8610"/>
        <w:gridCol w:w="4335"/>
        <w:tblGridChange w:id="0">
          <w:tblGrid>
            <w:gridCol w:w="2895"/>
            <w:gridCol w:w="8610"/>
            <w:gridCol w:w="4335"/>
          </w:tblGrid>
        </w:tblGridChange>
      </w:tblGrid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Qualifications &amp;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Hold a recognised computer or network qualification at NVQ level 4 or equivalent experience.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Membership of a professional body</w:t>
            </w:r>
          </w:p>
        </w:tc>
      </w:tr>
      <w:tr>
        <w:trPr>
          <w:trHeight w:val="6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management experience from within a school environment.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Considerable experience in Network management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working in a similar role.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Configuring computer hardware and software and managing projects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Hands-on experience troubleshooting hardware such as servers, routers, bridges, switches, hubs, modems, network interface cards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Knowledge &amp;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of client/server architecture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depth knowledge of computer systems/networks and a range of software applications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health, safety and welfare regulations and best practice affecting ICT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Data Protection requirements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Exceptional technical knowledge of network and PC operating systems in particular for managing and configuring authority and school-wide LANs, WANs, WLANs, VPNs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knowledge of current protocols and standards Knowledge and understanding of telecommunications principles.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Professional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Willingness to attend CPL with the federation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Willingness to undergo further training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organised and efficient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Reliable and punctual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a polite, friendly and flexible approach to work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 good sense of humour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follow instructions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keep calm and professional at all times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Interpersonal – common courtesy, tact and confidentiality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in close proximity to and inspiring and motivating others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~ The successful candidate will be subject to a fully enhanced DBS disclosure 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1906" w:w="16838"/>
      <w:pgMar w:bottom="0" w:top="0" w:left="576" w:right="57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722.3999999999995"/>
      <w:contextualSpacing w:val="0"/>
      <w:jc w:val="left"/>
      <w:rPr>
        <w:color w:val="0000ff"/>
        <w:sz w:val="16"/>
        <w:szCs w:val="16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-294321</wp:posOffset>
          </wp:positionH>
          <wp:positionV relativeFrom="paragraph">
            <wp:posOffset>9525</wp:posOffset>
          </wp:positionV>
          <wp:extent cx="10581323" cy="124777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6426" l="0" r="0" t="0"/>
                  <a:stretch>
                    <a:fillRect/>
                  </a:stretch>
                </pic:blipFill>
                <pic:spPr>
                  <a:xfrm>
                    <a:off x="0" y="0"/>
                    <a:ext cx="10581323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