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79.0" w:type="dxa"/>
        <w:jc w:val="left"/>
        <w:tblInd w:w="0.0" w:type="dxa"/>
        <w:tblBorders>
          <w:top w:color="a5300f" w:space="0" w:sz="6" w:val="single"/>
          <w:left w:color="a5300f" w:space="0" w:sz="6" w:val="single"/>
          <w:bottom w:color="a5300f" w:space="0" w:sz="6" w:val="single"/>
          <w:right w:color="a5300f" w:space="0" w:sz="6" w:val="single"/>
          <w:insideH w:color="a5300f" w:space="0" w:sz="6" w:val="single"/>
          <w:insideV w:color="a5300f" w:space="0" w:sz="6" w:val="single"/>
        </w:tblBorders>
        <w:tblLayout w:type="fixed"/>
        <w:tblLook w:val="0400"/>
      </w:tblPr>
      <w:tblGrid>
        <w:gridCol w:w="2480"/>
        <w:gridCol w:w="3196"/>
        <w:gridCol w:w="1270"/>
        <w:gridCol w:w="816"/>
        <w:gridCol w:w="908"/>
        <w:gridCol w:w="1509"/>
        <w:tblGridChange w:id="0">
          <w:tblGrid>
            <w:gridCol w:w="2480"/>
            <w:gridCol w:w="3196"/>
            <w:gridCol w:w="1270"/>
            <w:gridCol w:w="816"/>
            <w:gridCol w:w="908"/>
            <w:gridCol w:w="1509"/>
          </w:tblGrid>
        </w:tblGridChange>
      </w:tblGrid>
      <w:tr>
        <w:trPr>
          <w:cantSplit w:val="0"/>
          <w:tblHeader w:val="0"/>
        </w:trPr>
        <w:tc>
          <w:tcPr>
            <w:gridSpan w:val="6"/>
            <w:shd w:fill="auto" w:val="clear"/>
          </w:tcPr>
          <w:p w:rsidR="00000000" w:rsidDel="00000000" w:rsidP="00000000" w:rsidRDefault="00000000" w:rsidRPr="00000000" w14:paraId="00000003">
            <w:pPr>
              <w:spacing w:after="40" w:before="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OF DEPARTMENT</w:t>
            </w:r>
          </w:p>
          <w:p w:rsidR="00000000" w:rsidDel="00000000" w:rsidP="00000000" w:rsidRDefault="00000000" w:rsidRPr="00000000" w14:paraId="00000004">
            <w:pPr>
              <w:spacing w:after="40" w:before="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JOB DESCRIPTION</w:t>
            </w: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DEPT </w:t>
            </w:r>
          </w:p>
        </w:tc>
        <w:tc>
          <w:tcPr>
            <w:gridSpan w:val="2"/>
            <w:shd w:fill="auto" w:val="clear"/>
            <w:vAlign w:val="cente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ACCOUNTABLE TO</w:t>
            </w:r>
          </w:p>
        </w:tc>
        <w:tc>
          <w:tcPr>
            <w:gridSpan w:val="5"/>
            <w:shd w:fill="auto" w:val="clear"/>
            <w:vAlign w:val="cente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SLT Link Manager</w:t>
            </w:r>
          </w:p>
        </w:tc>
      </w:tr>
      <w:tr>
        <w:trPr>
          <w:cantSplit w:val="0"/>
          <w:trHeight w:val="266" w:hRule="atLeast"/>
          <w:tblHeader w:val="0"/>
        </w:trPr>
        <w:tc>
          <w:tcPr>
            <w:shd w:fill="auto" w:val="clear"/>
            <w:vAlign w:val="center"/>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JOB PURPOSE</w:t>
            </w:r>
            <w:r w:rsidDel="00000000" w:rsidR="00000000" w:rsidRPr="00000000">
              <w:rPr>
                <w:rtl w:val="0"/>
              </w:rPr>
            </w:r>
          </w:p>
        </w:tc>
        <w:tc>
          <w:tcPr>
            <w:gridSpan w:val="5"/>
            <w:shd w:fill="auto" w:val="clear"/>
            <w:vAlign w:val="center"/>
          </w:tcPr>
          <w:p w:rsidR="00000000" w:rsidDel="00000000" w:rsidP="00000000" w:rsidRDefault="00000000" w:rsidRPr="00000000" w14:paraId="00000017">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effectively lead, manage and develop the department.</w:t>
            </w:r>
          </w:p>
          <w:p w:rsidR="00000000" w:rsidDel="00000000" w:rsidP="00000000" w:rsidRDefault="00000000" w:rsidRPr="00000000" w14:paraId="00000018">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the curriculum for the department is relevant, fit for purpose and has clear direction of travel from KS3 to KS5.</w:t>
            </w:r>
          </w:p>
          <w:p w:rsidR="00000000" w:rsidDel="00000000" w:rsidP="00000000" w:rsidRDefault="00000000" w:rsidRPr="00000000" w14:paraId="00000019">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the standards of teaching across the department is consistently good or better.</w:t>
            </w:r>
          </w:p>
          <w:p w:rsidR="00000000" w:rsidDel="00000000" w:rsidP="00000000" w:rsidRDefault="00000000" w:rsidRPr="00000000" w14:paraId="0000001A">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students meet their progress and attainment targets.</w:t>
            </w:r>
          </w:p>
          <w:p w:rsidR="00000000" w:rsidDel="00000000" w:rsidP="00000000" w:rsidRDefault="00000000" w:rsidRPr="00000000" w14:paraId="0000001B">
            <w:pPr>
              <w:ind w:left="360" w:firstLine="0"/>
              <w:rPr>
                <w:rFonts w:ascii="Calibri" w:cs="Calibri" w:eastAsia="Calibri" w:hAnsi="Calibri"/>
                <w:sz w:val="20"/>
                <w:szCs w:val="20"/>
              </w:rPr>
            </w:pP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Area</w:t>
            </w:r>
          </w:p>
        </w:tc>
        <w:tc>
          <w:tcPr>
            <w:gridSpan w:val="5"/>
            <w:shd w:fill="auto" w:val="clear"/>
            <w:vAlign w:val="center"/>
          </w:tcPr>
          <w:p w:rsidR="00000000" w:rsidDel="00000000" w:rsidP="00000000" w:rsidRDefault="00000000" w:rsidRPr="00000000" w14:paraId="0000002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Responsibility</w:t>
            </w:r>
          </w:p>
        </w:tc>
      </w:tr>
      <w:tr>
        <w:trPr>
          <w:cantSplit w:val="0"/>
          <w:trHeight w:val="266" w:hRule="atLeast"/>
          <w:tblHeader w:val="0"/>
        </w:trPr>
        <w:tc>
          <w:tcPr>
            <w:shd w:fill="auto" w:val="clea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Responsibilities</w:t>
            </w: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Carry out all duties and responsibilities in accordance with School policies and procedures and statutory requirements.</w:t>
            </w:r>
            <w:r w:rsidDel="00000000" w:rsidR="00000000" w:rsidRPr="00000000">
              <w:rPr>
                <w:rtl w:val="0"/>
              </w:rPr>
            </w:r>
          </w:p>
        </w:tc>
        <w:tc>
          <w:tcPr>
            <w:gridSpan w:val="5"/>
            <w:shd w:fill="auto" w:val="clear"/>
            <w:vAlign w:val="center"/>
          </w:tcPr>
          <w:p w:rsidR="00000000" w:rsidDel="00000000" w:rsidP="00000000" w:rsidRDefault="00000000" w:rsidRPr="00000000" w14:paraId="00000028">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the smooth running of the department</w:t>
            </w:r>
          </w:p>
          <w:p w:rsidR="00000000" w:rsidDel="00000000" w:rsidP="00000000" w:rsidRDefault="00000000" w:rsidRPr="00000000" w14:paraId="00000029">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the school’s aims, objectives and vision are met, formulating a clear strategy for the continued development </w:t>
            </w:r>
          </w:p>
          <w:p w:rsidR="00000000" w:rsidDel="00000000" w:rsidP="00000000" w:rsidRDefault="00000000" w:rsidRPr="00000000" w14:paraId="0000002A">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Promote collaboration and the sharing of good practice and across the wider curriculum.</w:t>
            </w:r>
          </w:p>
          <w:p w:rsidR="00000000" w:rsidDel="00000000" w:rsidP="00000000" w:rsidRDefault="00000000" w:rsidRPr="00000000" w14:paraId="0000002B">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hold and attend relevant meetings </w:t>
            </w:r>
          </w:p>
          <w:p w:rsidR="00000000" w:rsidDel="00000000" w:rsidP="00000000" w:rsidRDefault="00000000" w:rsidRPr="00000000" w14:paraId="0000002C">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manage and contribute to the consistent implementation of policies and procedures within the department and across the whole school.</w:t>
            </w:r>
          </w:p>
          <w:p w:rsidR="00000000" w:rsidDel="00000000" w:rsidP="00000000" w:rsidRDefault="00000000" w:rsidRPr="00000000" w14:paraId="0000002D">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effectively line manage and appraise staff as appropriate.</w:t>
            </w:r>
          </w:p>
          <w:p w:rsidR="00000000" w:rsidDel="00000000" w:rsidP="00000000" w:rsidRDefault="00000000" w:rsidRPr="00000000" w14:paraId="0000002E">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responsible for the effective deployment, professional development, induction and well-being of all staff working within the department</w:t>
            </w:r>
          </w:p>
          <w:p w:rsidR="00000000" w:rsidDel="00000000" w:rsidP="00000000" w:rsidRDefault="00000000" w:rsidRPr="00000000" w14:paraId="0000002F">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quality assure progress and attainment in the department</w:t>
            </w:r>
          </w:p>
        </w:tc>
      </w:tr>
      <w:tr>
        <w:trPr>
          <w:cantSplit w:val="0"/>
          <w:trHeight w:val="266" w:hRule="atLeast"/>
          <w:tblHeader w:val="0"/>
        </w:trPr>
        <w:tc>
          <w:tcPr>
            <w:shd w:fill="auto" w:val="clear"/>
            <w:vAlign w:val="center"/>
          </w:tcPr>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Areas of Accountability</w:t>
            </w:r>
          </w:p>
        </w:tc>
        <w:tc>
          <w:tcPr>
            <w:gridSpan w:val="5"/>
            <w:shd w:fill="auto" w:val="clear"/>
          </w:tcPr>
          <w:p w:rsidR="00000000" w:rsidDel="00000000" w:rsidP="00000000" w:rsidRDefault="00000000" w:rsidRPr="00000000" w14:paraId="00000035">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Through effective Teaching and Learning students achieve the best possible outcomes, ensuring their progress and attainment reaches or exceeds expected levels.</w:t>
            </w:r>
          </w:p>
          <w:p w:rsidR="00000000" w:rsidDel="00000000" w:rsidP="00000000" w:rsidRDefault="00000000" w:rsidRPr="00000000" w14:paraId="00000036">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budgets and resources are effectively managed.</w:t>
            </w:r>
          </w:p>
          <w:p w:rsidR="00000000" w:rsidDel="00000000" w:rsidP="00000000" w:rsidRDefault="00000000" w:rsidRPr="00000000" w14:paraId="00000037">
            <w:pPr>
              <w:ind w:left="360" w:firstLine="0"/>
              <w:rPr>
                <w:rFonts w:ascii="Calibri" w:cs="Calibri" w:eastAsia="Calibri" w:hAnsi="Calibri"/>
                <w:sz w:val="20"/>
                <w:szCs w:val="20"/>
              </w:rPr>
            </w:pP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 development</w:t>
            </w:r>
          </w:p>
        </w:tc>
        <w:tc>
          <w:tcPr>
            <w:gridSpan w:val="5"/>
            <w:shd w:fill="auto" w:val="clear"/>
            <w:vAlign w:val="center"/>
          </w:tcPr>
          <w:p w:rsidR="00000000" w:rsidDel="00000000" w:rsidP="00000000" w:rsidRDefault="00000000" w:rsidRPr="00000000" w14:paraId="0000003D">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Periodically review the methods of teaching and learning, ensuring appropriate CPD is undertaken where necessary.</w:t>
            </w:r>
          </w:p>
          <w:p w:rsidR="00000000" w:rsidDel="00000000" w:rsidP="00000000" w:rsidRDefault="00000000" w:rsidRPr="00000000" w14:paraId="0000003E">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in arrangements for further training and professional development including those aimed at meeting the need identified in performance objectives or in performance statements</w:t>
            </w:r>
          </w:p>
          <w:p w:rsidR="00000000" w:rsidDel="00000000" w:rsidP="00000000" w:rsidRDefault="00000000" w:rsidRPr="00000000" w14:paraId="0000003F">
            <w:pPr>
              <w:ind w:left="360" w:firstLine="0"/>
              <w:rPr>
                <w:rFonts w:ascii="Calibri" w:cs="Calibri" w:eastAsia="Calibri" w:hAnsi="Calibri"/>
                <w:sz w:val="20"/>
                <w:szCs w:val="20"/>
              </w:rPr>
            </w:pP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Discipline, health and safety</w:t>
            </w:r>
          </w:p>
        </w:tc>
        <w:tc>
          <w:tcPr>
            <w:gridSpan w:val="5"/>
            <w:shd w:fill="auto" w:val="clear"/>
            <w:vAlign w:val="center"/>
          </w:tcPr>
          <w:p w:rsidR="00000000" w:rsidDel="00000000" w:rsidP="00000000" w:rsidRDefault="00000000" w:rsidRPr="00000000" w14:paraId="00000045">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within school policies and procedures to maintain good behaviour and discipline amongst students, ensuring their health and safety both within the classroom, school premises and where they are engaged in authorised school activities elsewhere.</w:t>
            </w:r>
          </w:p>
          <w:p w:rsidR="00000000" w:rsidDel="00000000" w:rsidP="00000000" w:rsidRDefault="00000000" w:rsidRPr="00000000" w14:paraId="00000046">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in accordance with the guidelines set out in the school Health and safety policy.</w:t>
            </w:r>
          </w:p>
          <w:p w:rsidR="00000000" w:rsidDel="00000000" w:rsidP="00000000" w:rsidRDefault="00000000" w:rsidRPr="00000000" w14:paraId="00000047">
            <w:pPr>
              <w:ind w:left="360" w:firstLine="0"/>
              <w:rPr>
                <w:rFonts w:ascii="Calibri" w:cs="Calibri" w:eastAsia="Calibri" w:hAnsi="Calibri"/>
                <w:sz w:val="20"/>
                <w:szCs w:val="20"/>
              </w:rPr>
            </w:pP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Examinations</w:t>
            </w:r>
          </w:p>
        </w:tc>
        <w:tc>
          <w:tcPr>
            <w:gridSpan w:val="5"/>
            <w:shd w:fill="auto" w:val="clear"/>
            <w:vAlign w:val="center"/>
          </w:tcPr>
          <w:p w:rsidR="00000000" w:rsidDel="00000000" w:rsidP="00000000" w:rsidRDefault="00000000" w:rsidRPr="00000000" w14:paraId="0000004D">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in arrangements for preparing students for external/internal examinations, in assessing students for the purpose of such examinations.</w:t>
            </w:r>
          </w:p>
          <w:p w:rsidR="00000000" w:rsidDel="00000000" w:rsidP="00000000" w:rsidRDefault="00000000" w:rsidRPr="00000000" w14:paraId="0000004E">
            <w:pPr>
              <w:ind w:left="360" w:firstLine="0"/>
              <w:rPr>
                <w:rFonts w:ascii="Calibri" w:cs="Calibri" w:eastAsia="Calibri" w:hAnsi="Calibri"/>
                <w:sz w:val="20"/>
                <w:szCs w:val="20"/>
              </w:rPr>
            </w:pPr>
            <w:r w:rsidDel="00000000" w:rsidR="00000000" w:rsidRPr="00000000">
              <w:rPr>
                <w:rtl w:val="0"/>
              </w:rPr>
            </w:r>
          </w:p>
        </w:tc>
      </w:tr>
      <w:tr>
        <w:trPr>
          <w:cantSplit w:val="0"/>
          <w:trHeight w:val="266" w:hRule="atLeast"/>
          <w:tblHeader w:val="0"/>
        </w:trPr>
        <w:tc>
          <w:tcPr>
            <w:shd w:fill="auto" w:val="clear"/>
            <w:vAlign w:val="center"/>
          </w:tcPr>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Responsibilities</w:t>
            </w:r>
          </w:p>
        </w:tc>
        <w:tc>
          <w:tcPr>
            <w:gridSpan w:val="5"/>
            <w:shd w:fill="auto" w:val="clear"/>
          </w:tcPr>
          <w:p w:rsidR="00000000" w:rsidDel="00000000" w:rsidP="00000000" w:rsidRDefault="00000000" w:rsidRPr="00000000" w14:paraId="00000054">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Promote the school’s values and ethos in accordance with the School’s Professional Code.</w:t>
            </w:r>
          </w:p>
          <w:p w:rsidR="00000000" w:rsidDel="00000000" w:rsidP="00000000" w:rsidRDefault="00000000" w:rsidRPr="00000000" w14:paraId="00000055">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actively to develop professional expertise by participating in ongoing professional development.</w:t>
            </w:r>
          </w:p>
          <w:p w:rsidR="00000000" w:rsidDel="00000000" w:rsidP="00000000" w:rsidRDefault="00000000" w:rsidRPr="00000000" w14:paraId="00000056">
            <w:pPr>
              <w:numPr>
                <w:ilvl w:val="0"/>
                <w:numId w:val="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Contribute to the professional development of colleagues.</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ind w:left="360" w:firstLine="0"/>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Review of the job description</w:t>
            </w:r>
          </w:p>
        </w:tc>
        <w:tc>
          <w:tcPr>
            <w:gridSpan w:val="5"/>
            <w:shd w:fill="auto" w:val="clear"/>
            <w:vAlign w:val="cente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job description is intended to provide guidance on the range of duties associated with the post. It is not intended to provide a full and exclusive definition of the post and the post holder may be required to undertake additional duties by the Head Teacher. It may be subject to modification and amendment at any time after consultation with the post holder.</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 member of staff</w:t>
            </w:r>
          </w:p>
        </w:tc>
        <w:tc>
          <w:tcPr>
            <w:gridSpan w:val="2"/>
            <w:shd w:fill="auto" w:val="clear"/>
            <w:vAlign w:val="cente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shd w:fill="auto" w:val="clear"/>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 appraiser</w:t>
            </w:r>
          </w:p>
        </w:tc>
        <w:tc>
          <w:tcPr>
            <w:gridSpan w:val="2"/>
            <w:shd w:fill="auto" w:val="clear"/>
            <w:vAlign w:val="cente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shd w:fill="auto" w:val="clear"/>
            <w:vAlign w:val="center"/>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r>
      <w:tr>
        <w:trPr>
          <w:cantSplit w:val="0"/>
          <w:trHeight w:val="454" w:hRule="atLeast"/>
          <w:tblHeader w:val="0"/>
        </w:trPr>
        <w:tc>
          <w:tcPr>
            <w:shd w:fill="auto" w:val="clear"/>
            <w:vAlign w:val="center"/>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Head Teacher</w:t>
            </w:r>
          </w:p>
        </w:tc>
        <w:tc>
          <w:tcPr>
            <w:gridSpan w:val="2"/>
            <w:shd w:fill="auto" w:val="clear"/>
            <w:vAlign w:val="center"/>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shd w:fill="auto" w:val="clear"/>
            <w:vAlign w:val="center"/>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8">
      <w:pPr>
        <w:ind w:firstLine="284"/>
        <w:jc w:val="both"/>
        <w:rPr>
          <w:rFonts w:ascii="Calibri" w:cs="Calibri" w:eastAsia="Calibri" w:hAnsi="Calibri"/>
          <w:sz w:val="22"/>
          <w:szCs w:val="22"/>
        </w:rPr>
      </w:pPr>
      <w:r w:rsidDel="00000000" w:rsidR="00000000" w:rsidRPr="00000000">
        <w:rPr>
          <w:rtl w:val="0"/>
        </w:rPr>
      </w:r>
    </w:p>
    <w:sectPr>
      <w:headerReference r:id="rId7" w:type="first"/>
      <w:footerReference r:id="rId8" w:type="default"/>
      <w:footerReference r:id="rId9" w:type="first"/>
      <w:pgSz w:h="16838" w:w="11906" w:orient="portrait"/>
      <w:pgMar w:bottom="720" w:top="2268" w:left="720" w:right="991" w:header="1757" w:footer="10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315075" cy="829945"/>
          <wp:effectExtent b="0" l="0" r="0" t="0"/>
          <wp:wrapNone/>
          <wp:docPr id="4" name="image2.png"/>
          <a:graphic>
            <a:graphicData uri="http://schemas.openxmlformats.org/drawingml/2006/picture">
              <pic:pic>
                <pic:nvPicPr>
                  <pic:cNvPr id="0" name="image2.png"/>
                  <pic:cNvPicPr preferRelativeResize="0"/>
                </pic:nvPicPr>
                <pic:blipFill>
                  <a:blip r:embed="rId1"/>
                  <a:srcRect b="0" l="9918" r="0" t="47510"/>
                  <a:stretch>
                    <a:fillRect/>
                  </a:stretch>
                </pic:blipFill>
                <pic:spPr>
                  <a:xfrm>
                    <a:off x="0" y="0"/>
                    <a:ext cx="6315075" cy="82994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315075" cy="829945"/>
          <wp:effectExtent b="0" l="0" r="0" t="0"/>
          <wp:wrapNone/>
          <wp:docPr id="6" name="image2.png"/>
          <a:graphic>
            <a:graphicData uri="http://schemas.openxmlformats.org/drawingml/2006/picture">
              <pic:pic>
                <pic:nvPicPr>
                  <pic:cNvPr id="0" name="image2.png"/>
                  <pic:cNvPicPr preferRelativeResize="0"/>
                </pic:nvPicPr>
                <pic:blipFill>
                  <a:blip r:embed="rId1"/>
                  <a:srcRect b="0" l="9918" r="0" t="47510"/>
                  <a:stretch>
                    <a:fillRect/>
                  </a:stretch>
                </pic:blipFill>
                <pic:spPr>
                  <a:xfrm>
                    <a:off x="0" y="0"/>
                    <a:ext cx="6315075" cy="8299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-762634</wp:posOffset>
          </wp:positionV>
          <wp:extent cx="1581150" cy="781050"/>
          <wp:effectExtent b="0" l="0" r="0" t="0"/>
          <wp:wrapNone/>
          <wp:docPr descr="V:\Meadow\Final Logos\Cleeve Park Final (Small).jpg" id="5" name="image1.jpg"/>
          <a:graphic>
            <a:graphicData uri="http://schemas.openxmlformats.org/drawingml/2006/picture">
              <pic:pic>
                <pic:nvPicPr>
                  <pic:cNvPr descr="V:\Meadow\Final Logos\Cleeve Park Final (Small).jpg" id="0" name="image1.jpg"/>
                  <pic:cNvPicPr preferRelativeResize="0"/>
                </pic:nvPicPr>
                <pic:blipFill>
                  <a:blip r:embed="rId1"/>
                  <a:srcRect b="0" l="0" r="0" t="0"/>
                  <a:stretch>
                    <a:fillRect/>
                  </a:stretch>
                </pic:blipFill>
                <pic:spPr>
                  <a:xfrm>
                    <a:off x="0" y="0"/>
                    <a:ext cx="1581150"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table" w:styleId="TableGrid">
    <w:name w:val="Table Grid"/>
    <w:basedOn w:val="TableNormal"/>
    <w:uiPriority w:val="59"/>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Classic1">
    <w:name w:val="Table Classic 1"/>
    <w:basedOn w:val="TableNormal"/>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character" w:styleId="Hyperlink">
    <w:name w:val="Hyperlink"/>
    <w:basedOn w:val="DefaultParagraphFont"/>
    <w:rPr>
      <w:color w:val="6b9f25" w:themeColor="hyperlink"/>
      <w:u w:val="single"/>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pCZpThU2/aiu2vFcE6THWVvCA==">AMUW2mWpcQ/PW27uiHUAj17pgFFz6baHG7WDnru8gDHuWAGrFWKFtxJ8RKX/DDCaLisRMk4LiWk4WMCBqaeNB0yKqqRF+cl5AchesVofu0B0Cgw0KgNvu+hBu+6J8ENP1fMZgUgogX9y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2020-01-28T13:31:00Z</dcterms:created>
  <dc:creator>Ockelford</dc:creator>
</cp:coreProperties>
</file>