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75163" w14:textId="77777777" w:rsidR="00C115DF" w:rsidRPr="0093160A" w:rsidRDefault="00E37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b/>
          <w:color w:val="000000"/>
          <w:sz w:val="21"/>
          <w:szCs w:val="21"/>
        </w:rPr>
        <w:t>Higher Level Teaching Assistant Job Description</w:t>
      </w:r>
    </w:p>
    <w:p w14:paraId="120A377B" w14:textId="77777777" w:rsidR="00C115DF" w:rsidRPr="0093160A" w:rsidRDefault="00C11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1"/>
          <w:szCs w:val="21"/>
        </w:rPr>
      </w:pPr>
    </w:p>
    <w:tbl>
      <w:tblPr>
        <w:tblStyle w:val="a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647"/>
      </w:tblGrid>
      <w:tr w:rsidR="00C115DF" w:rsidRPr="0093160A" w14:paraId="0110ADB4" w14:textId="77777777">
        <w:tc>
          <w:tcPr>
            <w:tcW w:w="1951" w:type="dxa"/>
          </w:tcPr>
          <w:p w14:paraId="2CFF2E8B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>Role title</w:t>
            </w:r>
          </w:p>
        </w:tc>
        <w:tc>
          <w:tcPr>
            <w:tcW w:w="8647" w:type="dxa"/>
          </w:tcPr>
          <w:p w14:paraId="54A96190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>Higher Level Teaching Assistant</w:t>
            </w:r>
          </w:p>
        </w:tc>
      </w:tr>
      <w:tr w:rsidR="00C115DF" w:rsidRPr="0093160A" w14:paraId="367EBDB9" w14:textId="77777777">
        <w:tc>
          <w:tcPr>
            <w:tcW w:w="1951" w:type="dxa"/>
          </w:tcPr>
          <w:p w14:paraId="77E48471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>Purpose of role</w:t>
            </w:r>
          </w:p>
        </w:tc>
        <w:tc>
          <w:tcPr>
            <w:tcW w:w="8647" w:type="dxa"/>
          </w:tcPr>
          <w:p w14:paraId="14B9C9C8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>To provide higher level support for teaching and learning under the direction of</w:t>
            </w:r>
            <w:r w:rsidRPr="0093160A">
              <w:rPr>
                <w:rFonts w:ascii="Arial" w:eastAsia="Arial" w:hAnsi="Arial" w:cs="Arial"/>
                <w:sz w:val="21"/>
                <w:szCs w:val="21"/>
              </w:rPr>
              <w:t xml:space="preserve"> the </w:t>
            </w:r>
            <w:proofErr w:type="spellStart"/>
            <w:r w:rsidRPr="0093160A">
              <w:rPr>
                <w:rFonts w:ascii="Arial" w:eastAsia="Arial" w:hAnsi="Arial" w:cs="Arial"/>
                <w:sz w:val="21"/>
                <w:szCs w:val="21"/>
              </w:rPr>
              <w:t>SENDCo</w:t>
            </w:r>
            <w:proofErr w:type="spellEnd"/>
            <w:r w:rsidRPr="0093160A">
              <w:rPr>
                <w:rFonts w:ascii="Arial" w:eastAsia="Arial" w:hAnsi="Arial" w:cs="Arial"/>
                <w:sz w:val="21"/>
                <w:szCs w:val="21"/>
              </w:rPr>
              <w:t xml:space="preserve">, Deputy </w:t>
            </w:r>
            <w:proofErr w:type="spellStart"/>
            <w:r w:rsidRPr="0093160A">
              <w:rPr>
                <w:rFonts w:ascii="Arial" w:eastAsia="Arial" w:hAnsi="Arial" w:cs="Arial"/>
                <w:sz w:val="21"/>
                <w:szCs w:val="21"/>
              </w:rPr>
              <w:t>SENDCos</w:t>
            </w:r>
            <w:proofErr w:type="spellEnd"/>
            <w:r w:rsidRPr="0093160A">
              <w:rPr>
                <w:rFonts w:ascii="Arial" w:eastAsia="Arial" w:hAnsi="Arial" w:cs="Arial"/>
                <w:sz w:val="21"/>
                <w:szCs w:val="21"/>
              </w:rPr>
              <w:t xml:space="preserve"> and subject teachers </w:t>
            </w: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>and to lead and supervise learning support staff</w:t>
            </w:r>
          </w:p>
        </w:tc>
      </w:tr>
      <w:tr w:rsidR="00C115DF" w:rsidRPr="0093160A" w14:paraId="2223E355" w14:textId="77777777">
        <w:tc>
          <w:tcPr>
            <w:tcW w:w="1951" w:type="dxa"/>
          </w:tcPr>
          <w:p w14:paraId="3741214C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>Working hours</w:t>
            </w:r>
          </w:p>
        </w:tc>
        <w:tc>
          <w:tcPr>
            <w:tcW w:w="8647" w:type="dxa"/>
          </w:tcPr>
          <w:p w14:paraId="58A73833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>35 hours per week for 39 weeks per year (term-time only position)</w:t>
            </w:r>
          </w:p>
        </w:tc>
      </w:tr>
      <w:tr w:rsidR="00C115DF" w:rsidRPr="0093160A" w14:paraId="52660E84" w14:textId="77777777">
        <w:tc>
          <w:tcPr>
            <w:tcW w:w="1951" w:type="dxa"/>
          </w:tcPr>
          <w:p w14:paraId="55D4EF72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>Line Manager</w:t>
            </w:r>
          </w:p>
        </w:tc>
        <w:tc>
          <w:tcPr>
            <w:tcW w:w="8647" w:type="dxa"/>
          </w:tcPr>
          <w:p w14:paraId="64F2D1C3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SENDCO and Deputy </w:t>
            </w:r>
            <w:proofErr w:type="spellStart"/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>SENDCos</w:t>
            </w:r>
            <w:proofErr w:type="spellEnd"/>
          </w:p>
        </w:tc>
      </w:tr>
      <w:tr w:rsidR="00C115DF" w:rsidRPr="0093160A" w14:paraId="135B3226" w14:textId="77777777">
        <w:tc>
          <w:tcPr>
            <w:tcW w:w="1951" w:type="dxa"/>
          </w:tcPr>
          <w:p w14:paraId="3047AE47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>Grade of Post</w:t>
            </w:r>
          </w:p>
        </w:tc>
        <w:tc>
          <w:tcPr>
            <w:tcW w:w="8647" w:type="dxa"/>
          </w:tcPr>
          <w:p w14:paraId="48F5A8D8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Scale 6 (point 23-24) </w:t>
            </w:r>
          </w:p>
        </w:tc>
      </w:tr>
    </w:tbl>
    <w:p w14:paraId="2C9FA0D1" w14:textId="77777777" w:rsidR="00C115DF" w:rsidRPr="0093160A" w:rsidRDefault="00C11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1"/>
          <w:szCs w:val="21"/>
        </w:rPr>
      </w:pPr>
    </w:p>
    <w:p w14:paraId="02E93092" w14:textId="77777777" w:rsidR="00C115DF" w:rsidRPr="0093160A" w:rsidRDefault="00E37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  <w:r w:rsidRPr="0093160A">
        <w:rPr>
          <w:rFonts w:ascii="Arial" w:eastAsia="Arial" w:hAnsi="Arial" w:cs="Arial"/>
          <w:b/>
          <w:color w:val="000000"/>
          <w:sz w:val="21"/>
          <w:szCs w:val="21"/>
        </w:rPr>
        <w:t>Key Duties:</w:t>
      </w:r>
    </w:p>
    <w:p w14:paraId="46F8FED2" w14:textId="581ACBFA" w:rsidR="00C115DF" w:rsidRPr="0093160A" w:rsidRDefault="00E37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Work with individuals and groups of students, under the direction of the </w:t>
      </w:r>
      <w:r w:rsidRPr="0093160A">
        <w:rPr>
          <w:rFonts w:ascii="Arial" w:eastAsia="Arial" w:hAnsi="Arial" w:cs="Arial"/>
          <w:sz w:val="21"/>
          <w:szCs w:val="21"/>
        </w:rPr>
        <w:t>SEND</w:t>
      </w: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557215" w:rsidRPr="0093160A">
        <w:rPr>
          <w:rFonts w:ascii="Arial" w:eastAsia="Arial" w:hAnsi="Arial" w:cs="Arial"/>
          <w:color w:val="000000"/>
          <w:sz w:val="21"/>
          <w:szCs w:val="21"/>
        </w:rPr>
        <w:t>Coordinators</w:t>
      </w: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 and subject teachers, to support learning</w:t>
      </w:r>
    </w:p>
    <w:p w14:paraId="59549774" w14:textId="704B8FC4" w:rsidR="00C115DF" w:rsidRPr="0093160A" w:rsidRDefault="00E37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Contribute to </w:t>
      </w:r>
      <w:r w:rsidR="00191A62" w:rsidRPr="0093160A">
        <w:rPr>
          <w:rFonts w:ascii="Arial" w:eastAsia="Arial" w:hAnsi="Arial" w:cs="Arial"/>
          <w:color w:val="000000"/>
          <w:sz w:val="21"/>
          <w:szCs w:val="21"/>
        </w:rPr>
        <w:t xml:space="preserve">the </w:t>
      </w:r>
      <w:r w:rsidRPr="0093160A">
        <w:rPr>
          <w:rFonts w:ascii="Arial" w:eastAsia="Arial" w:hAnsi="Arial" w:cs="Arial"/>
          <w:color w:val="000000"/>
          <w:sz w:val="21"/>
          <w:szCs w:val="21"/>
        </w:rPr>
        <w:t>planning and evaluation of lessons within a framework set by the teacher</w:t>
      </w:r>
    </w:p>
    <w:p w14:paraId="1D4333D4" w14:textId="2F6CF842" w:rsidR="00C115DF" w:rsidRPr="0093160A" w:rsidRDefault="00E37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Support teachers to assess student needs and progress and use detailed </w:t>
      </w:r>
      <w:r w:rsidRPr="0093160A">
        <w:rPr>
          <w:rFonts w:ascii="Arial" w:eastAsia="Arial" w:hAnsi="Arial" w:cs="Arial"/>
          <w:sz w:val="21"/>
          <w:szCs w:val="21"/>
        </w:rPr>
        <w:t>knowledge</w:t>
      </w: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 and specialist </w:t>
      </w:r>
      <w:r w:rsidRPr="0093160A">
        <w:rPr>
          <w:rFonts w:ascii="Arial" w:eastAsia="Arial" w:hAnsi="Arial" w:cs="Arial"/>
          <w:sz w:val="21"/>
          <w:szCs w:val="21"/>
        </w:rPr>
        <w:t>skills</w:t>
      </w: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 to support learning and promote independence</w:t>
      </w:r>
      <w:r w:rsidR="00191A62" w:rsidRPr="0093160A">
        <w:rPr>
          <w:rFonts w:ascii="Arial" w:eastAsia="Arial" w:hAnsi="Arial" w:cs="Arial"/>
          <w:color w:val="000000"/>
          <w:sz w:val="21"/>
          <w:szCs w:val="21"/>
        </w:rPr>
        <w:t>.</w:t>
      </w:r>
    </w:p>
    <w:p w14:paraId="5EB88B01" w14:textId="04C25CC1" w:rsidR="00557215" w:rsidRPr="0093160A" w:rsidRDefault="0055721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>Assist and attend parents</w:t>
      </w:r>
      <w:r w:rsidR="00191A62" w:rsidRPr="0093160A">
        <w:rPr>
          <w:rFonts w:ascii="Arial" w:eastAsia="Arial" w:hAnsi="Arial" w:cs="Arial"/>
          <w:color w:val="000000"/>
          <w:sz w:val="21"/>
          <w:szCs w:val="21"/>
        </w:rPr>
        <w:t>’</w:t>
      </w: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 evening</w:t>
      </w:r>
      <w:r w:rsidR="00191A62" w:rsidRPr="0093160A">
        <w:rPr>
          <w:rFonts w:ascii="Arial" w:eastAsia="Arial" w:hAnsi="Arial" w:cs="Arial"/>
          <w:color w:val="000000"/>
          <w:sz w:val="21"/>
          <w:szCs w:val="21"/>
        </w:rPr>
        <w:t>s</w:t>
      </w: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 to discuss students</w:t>
      </w:r>
      <w:r w:rsidR="00191A62" w:rsidRPr="0093160A">
        <w:rPr>
          <w:rFonts w:ascii="Arial" w:eastAsia="Arial" w:hAnsi="Arial" w:cs="Arial"/>
          <w:color w:val="000000"/>
          <w:sz w:val="21"/>
          <w:szCs w:val="21"/>
        </w:rPr>
        <w:t>’</w:t>
      </w: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 progress/concerns.</w:t>
      </w:r>
    </w:p>
    <w:p w14:paraId="6E6335B4" w14:textId="10C89DB8" w:rsidR="00557215" w:rsidRPr="0093160A" w:rsidRDefault="0055721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Attend whole school trips and reward trips to support </w:t>
      </w:r>
      <w:r w:rsidR="00191A62" w:rsidRPr="0093160A">
        <w:rPr>
          <w:rFonts w:ascii="Arial" w:eastAsia="Arial" w:hAnsi="Arial" w:cs="Arial"/>
          <w:color w:val="000000"/>
          <w:sz w:val="21"/>
          <w:szCs w:val="21"/>
        </w:rPr>
        <w:t xml:space="preserve">the </w:t>
      </w:r>
      <w:r w:rsidRPr="0093160A">
        <w:rPr>
          <w:rFonts w:ascii="Arial" w:eastAsia="Arial" w:hAnsi="Arial" w:cs="Arial"/>
          <w:color w:val="000000"/>
          <w:sz w:val="21"/>
          <w:szCs w:val="21"/>
        </w:rPr>
        <w:t>supervision of students</w:t>
      </w:r>
    </w:p>
    <w:p w14:paraId="36281B11" w14:textId="77777777" w:rsidR="00C115DF" w:rsidRPr="0093160A" w:rsidRDefault="00E37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>Liaise with staff and other relevant professionals and provide information about students as appropriate</w:t>
      </w:r>
    </w:p>
    <w:p w14:paraId="3BA326DB" w14:textId="0373FECE" w:rsidR="00C115DF" w:rsidRPr="0093160A" w:rsidRDefault="00E37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Contribute to the development and implementation of </w:t>
      </w:r>
      <w:r w:rsidR="00191A62" w:rsidRPr="0093160A">
        <w:rPr>
          <w:rFonts w:ascii="Arial" w:eastAsia="Arial" w:hAnsi="Arial" w:cs="Arial"/>
          <w:color w:val="000000"/>
          <w:sz w:val="21"/>
          <w:szCs w:val="21"/>
        </w:rPr>
        <w:t>Learning Support Plans ( LSPs)</w:t>
      </w: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 for students and </w:t>
      </w:r>
      <w:r w:rsidR="00557215" w:rsidRPr="0093160A">
        <w:rPr>
          <w:rFonts w:ascii="Arial" w:eastAsia="Arial" w:hAnsi="Arial" w:cs="Arial"/>
          <w:color w:val="000000"/>
          <w:sz w:val="21"/>
          <w:szCs w:val="21"/>
        </w:rPr>
        <w:t xml:space="preserve">lead </w:t>
      </w:r>
      <w:r w:rsidRPr="0093160A">
        <w:rPr>
          <w:rFonts w:ascii="Arial" w:eastAsia="Arial" w:hAnsi="Arial" w:cs="Arial"/>
          <w:color w:val="000000"/>
          <w:sz w:val="21"/>
          <w:szCs w:val="21"/>
        </w:rPr>
        <w:t>and contribute to reviews</w:t>
      </w:r>
    </w:p>
    <w:p w14:paraId="7D166490" w14:textId="77777777" w:rsidR="00C115DF" w:rsidRPr="0093160A" w:rsidRDefault="00E37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>Support transition from one key stage or year group to another</w:t>
      </w:r>
    </w:p>
    <w:p w14:paraId="5F1CF3AD" w14:textId="77777777" w:rsidR="00C115DF" w:rsidRPr="0093160A" w:rsidRDefault="00E37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>Support the role of parents/ carers in students’ learning and contribute to meetings</w:t>
      </w:r>
    </w:p>
    <w:p w14:paraId="74BD2E5A" w14:textId="60AD0269" w:rsidR="00C115DF" w:rsidRPr="0093160A" w:rsidRDefault="00E37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>Line-manage a team of classroom support staff</w:t>
      </w:r>
    </w:p>
    <w:p w14:paraId="18A8323A" w14:textId="77777777" w:rsidR="00C115DF" w:rsidRPr="0093160A" w:rsidRDefault="00E37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For some pupils there may be a need to administer medication in accordance with an agreed plan under direction of healthcare </w:t>
      </w:r>
      <w:r w:rsidRPr="0093160A">
        <w:rPr>
          <w:rFonts w:ascii="Arial" w:eastAsia="Arial" w:hAnsi="Arial" w:cs="Arial"/>
          <w:sz w:val="21"/>
          <w:szCs w:val="21"/>
        </w:rPr>
        <w:t>practitioners</w:t>
      </w: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 and appropriate training</w:t>
      </w:r>
    </w:p>
    <w:p w14:paraId="079B9465" w14:textId="699DBF75" w:rsidR="00C115DF" w:rsidRPr="0093160A" w:rsidRDefault="00E37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For some pupils there may be a need to assist pupils with mobility, eating, dressing and hygiene, </w:t>
      </w:r>
      <w:r w:rsidR="00557215" w:rsidRPr="0093160A">
        <w:rPr>
          <w:rFonts w:ascii="Arial" w:eastAsia="Arial" w:hAnsi="Arial" w:cs="Arial"/>
          <w:color w:val="000000"/>
          <w:sz w:val="21"/>
          <w:szCs w:val="21"/>
        </w:rPr>
        <w:t xml:space="preserve">some toileting needs </w:t>
      </w:r>
      <w:r w:rsidRPr="0093160A">
        <w:rPr>
          <w:rFonts w:ascii="Arial" w:eastAsia="Arial" w:hAnsi="Arial" w:cs="Arial"/>
          <w:color w:val="000000"/>
          <w:sz w:val="21"/>
          <w:szCs w:val="21"/>
        </w:rPr>
        <w:t>as required, whilst encouraging independence</w:t>
      </w:r>
    </w:p>
    <w:p w14:paraId="53314626" w14:textId="5ABA0D27" w:rsidR="00A97D49" w:rsidRPr="0093160A" w:rsidRDefault="00A97D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To support with curriculum outcomes, supporting teachers with resources and </w:t>
      </w:r>
      <w:proofErr w:type="spellStart"/>
      <w:r w:rsidRPr="0093160A">
        <w:rPr>
          <w:rFonts w:ascii="Arial" w:eastAsia="Arial" w:hAnsi="Arial" w:cs="Arial"/>
          <w:color w:val="000000"/>
          <w:sz w:val="21"/>
          <w:szCs w:val="21"/>
        </w:rPr>
        <w:t>differentitian</w:t>
      </w:r>
      <w:proofErr w:type="spellEnd"/>
    </w:p>
    <w:p w14:paraId="56AA534C" w14:textId="11866B35" w:rsidR="00557215" w:rsidRPr="0093160A" w:rsidRDefault="0055721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To have experience in first aid and be willing to undergo first aid training. </w:t>
      </w:r>
    </w:p>
    <w:p w14:paraId="6AD691D5" w14:textId="5C79DD86" w:rsidR="00557215" w:rsidRPr="0093160A" w:rsidRDefault="0055721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>To create and lead on targeted interventions in line with EHCP outcomes.</w:t>
      </w:r>
    </w:p>
    <w:p w14:paraId="76989871" w14:textId="77777777" w:rsidR="00C115DF" w:rsidRPr="0093160A" w:rsidRDefault="00C11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bookmarkStart w:id="0" w:name="_GoBack"/>
    </w:p>
    <w:bookmarkEnd w:id="0"/>
    <w:p w14:paraId="571D1844" w14:textId="77777777" w:rsidR="00C115DF" w:rsidRPr="0093160A" w:rsidRDefault="00E37C88">
      <w:pPr>
        <w:ind w:left="0" w:hanging="2"/>
        <w:jc w:val="both"/>
        <w:rPr>
          <w:rFonts w:ascii="Arial" w:eastAsia="Arial" w:hAnsi="Arial" w:cs="Arial"/>
          <w:b/>
          <w:sz w:val="21"/>
          <w:szCs w:val="21"/>
        </w:rPr>
      </w:pPr>
      <w:r w:rsidRPr="0093160A">
        <w:rPr>
          <w:rFonts w:ascii="Arial" w:eastAsia="Arial" w:hAnsi="Arial" w:cs="Arial"/>
          <w:b/>
          <w:sz w:val="21"/>
          <w:szCs w:val="21"/>
        </w:rPr>
        <w:t xml:space="preserve">All support staff </w:t>
      </w:r>
      <w:proofErr w:type="gramStart"/>
      <w:r w:rsidRPr="0093160A">
        <w:rPr>
          <w:rFonts w:ascii="Arial" w:eastAsia="Arial" w:hAnsi="Arial" w:cs="Arial"/>
          <w:b/>
          <w:sz w:val="21"/>
          <w:szCs w:val="21"/>
        </w:rPr>
        <w:t>are expected</w:t>
      </w:r>
      <w:proofErr w:type="gramEnd"/>
      <w:r w:rsidRPr="0093160A">
        <w:rPr>
          <w:rFonts w:ascii="Arial" w:eastAsia="Arial" w:hAnsi="Arial" w:cs="Arial"/>
          <w:b/>
          <w:sz w:val="21"/>
          <w:szCs w:val="21"/>
        </w:rPr>
        <w:t xml:space="preserve"> to:</w:t>
      </w:r>
    </w:p>
    <w:p w14:paraId="1238D43A" w14:textId="77777777" w:rsidR="00C115DF" w:rsidRPr="0093160A" w:rsidRDefault="00E37C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>Support the school values and ethos</w:t>
      </w:r>
    </w:p>
    <w:p w14:paraId="293281A6" w14:textId="77777777" w:rsidR="00C115DF" w:rsidRPr="0093160A" w:rsidRDefault="00E37C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>Follow school policies, practices and procedures</w:t>
      </w:r>
    </w:p>
    <w:p w14:paraId="11A48936" w14:textId="77777777" w:rsidR="00C115DF" w:rsidRPr="0093160A" w:rsidRDefault="00E37C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>Participate in the annual appraisal system</w:t>
      </w:r>
    </w:p>
    <w:p w14:paraId="7030902A" w14:textId="77777777" w:rsidR="00C115DF" w:rsidRPr="0093160A" w:rsidRDefault="00E37C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>Support equal opportunities measures and promote anti-discriminatory practice</w:t>
      </w:r>
    </w:p>
    <w:p w14:paraId="12179A44" w14:textId="77777777" w:rsidR="00C115DF" w:rsidRPr="0093160A" w:rsidRDefault="00E37C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>Support safeguarding and child protection measures and promote the welfare of students</w:t>
      </w:r>
    </w:p>
    <w:p w14:paraId="2E85D1AF" w14:textId="77777777" w:rsidR="00C115DF" w:rsidRPr="0093160A" w:rsidRDefault="00E37C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Undertake any other reasonable duties commensurate with the role and grade as determined by the </w:t>
      </w:r>
      <w:proofErr w:type="spellStart"/>
      <w:r w:rsidRPr="0093160A">
        <w:rPr>
          <w:rFonts w:ascii="Arial" w:eastAsia="Arial" w:hAnsi="Arial" w:cs="Arial"/>
          <w:color w:val="000000"/>
          <w:sz w:val="21"/>
          <w:szCs w:val="21"/>
        </w:rPr>
        <w:t>headteacher</w:t>
      </w:r>
      <w:proofErr w:type="spellEnd"/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 or line manager</w:t>
      </w:r>
    </w:p>
    <w:p w14:paraId="5EC9FC24" w14:textId="77777777" w:rsidR="00C115DF" w:rsidRPr="0093160A" w:rsidRDefault="00C115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5DADB8E" w14:textId="5208E68E" w:rsidR="00C115DF" w:rsidRPr="0093160A" w:rsidRDefault="00E37C8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Sometimes support staff may be required to work beyond the usual hours e.g. to support at parents evenings or other school events. Time Off </w:t>
      </w:r>
      <w:r w:rsidR="00557215" w:rsidRPr="0093160A">
        <w:rPr>
          <w:rFonts w:ascii="Arial" w:eastAsia="Arial" w:hAnsi="Arial" w:cs="Arial"/>
          <w:color w:val="000000"/>
          <w:sz w:val="21"/>
          <w:szCs w:val="21"/>
        </w:rPr>
        <w:t>in</w:t>
      </w:r>
      <w:r w:rsidRPr="0093160A">
        <w:rPr>
          <w:rFonts w:ascii="Arial" w:eastAsia="Arial" w:hAnsi="Arial" w:cs="Arial"/>
          <w:color w:val="000000"/>
          <w:sz w:val="21"/>
          <w:szCs w:val="21"/>
        </w:rPr>
        <w:t xml:space="preserve"> Lieu is available in such circumstances.</w:t>
      </w:r>
    </w:p>
    <w:p w14:paraId="38258E55" w14:textId="77777777" w:rsidR="00C115DF" w:rsidRPr="0093160A" w:rsidRDefault="00E37C88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  <w:r w:rsidRPr="0093160A">
        <w:rPr>
          <w:rFonts w:ascii="Arial" w:eastAsia="Arial" w:hAnsi="Arial" w:cs="Arial"/>
          <w:sz w:val="21"/>
          <w:szCs w:val="21"/>
        </w:rPr>
        <w:t xml:space="preserve">This job description is not prescriptive. If the needs of the school change, the job description </w:t>
      </w:r>
      <w:proofErr w:type="gramStart"/>
      <w:r w:rsidRPr="0093160A">
        <w:rPr>
          <w:rFonts w:ascii="Arial" w:eastAsia="Arial" w:hAnsi="Arial" w:cs="Arial"/>
          <w:sz w:val="21"/>
          <w:szCs w:val="21"/>
        </w:rPr>
        <w:t>may be revised or amended at any time following appropriate consultation with the post holder</w:t>
      </w:r>
      <w:proofErr w:type="gramEnd"/>
      <w:r w:rsidRPr="0093160A">
        <w:rPr>
          <w:rFonts w:ascii="Arial" w:eastAsia="Arial" w:hAnsi="Arial" w:cs="Arial"/>
          <w:sz w:val="21"/>
          <w:szCs w:val="21"/>
        </w:rPr>
        <w:t>.</w:t>
      </w:r>
    </w:p>
    <w:p w14:paraId="13D2321E" w14:textId="77777777" w:rsidR="00C115DF" w:rsidRPr="0093160A" w:rsidRDefault="00C115DF">
      <w:pPr>
        <w:ind w:left="0" w:hanging="2"/>
        <w:rPr>
          <w:rFonts w:ascii="Arial" w:eastAsia="Arial" w:hAnsi="Arial" w:cs="Arial"/>
          <w:sz w:val="21"/>
          <w:szCs w:val="21"/>
        </w:rPr>
      </w:pPr>
    </w:p>
    <w:tbl>
      <w:tblPr>
        <w:tblStyle w:val="a0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111"/>
        <w:gridCol w:w="2410"/>
      </w:tblGrid>
      <w:tr w:rsidR="00C115DF" w:rsidRPr="0093160A" w14:paraId="6F25827A" w14:textId="77777777">
        <w:trPr>
          <w:trHeight w:val="493"/>
        </w:trPr>
        <w:tc>
          <w:tcPr>
            <w:tcW w:w="4077" w:type="dxa"/>
          </w:tcPr>
          <w:p w14:paraId="01D95735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lastRenderedPageBreak/>
              <w:t>Name of employee:</w:t>
            </w:r>
          </w:p>
        </w:tc>
        <w:tc>
          <w:tcPr>
            <w:tcW w:w="4111" w:type="dxa"/>
          </w:tcPr>
          <w:p w14:paraId="09F34979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>Signature:</w:t>
            </w:r>
          </w:p>
        </w:tc>
        <w:tc>
          <w:tcPr>
            <w:tcW w:w="2410" w:type="dxa"/>
          </w:tcPr>
          <w:p w14:paraId="555669CB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>Date:</w:t>
            </w:r>
          </w:p>
        </w:tc>
      </w:tr>
      <w:tr w:rsidR="00C115DF" w:rsidRPr="0093160A" w14:paraId="7824BCC2" w14:textId="77777777">
        <w:trPr>
          <w:trHeight w:val="502"/>
        </w:trPr>
        <w:tc>
          <w:tcPr>
            <w:tcW w:w="4077" w:type="dxa"/>
          </w:tcPr>
          <w:p w14:paraId="0D0B68E7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>Name of line-manager:</w:t>
            </w:r>
          </w:p>
        </w:tc>
        <w:tc>
          <w:tcPr>
            <w:tcW w:w="4111" w:type="dxa"/>
          </w:tcPr>
          <w:p w14:paraId="09C40CA9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>Signature:</w:t>
            </w:r>
          </w:p>
        </w:tc>
        <w:tc>
          <w:tcPr>
            <w:tcW w:w="2410" w:type="dxa"/>
          </w:tcPr>
          <w:p w14:paraId="41265F59" w14:textId="77777777" w:rsidR="00C115DF" w:rsidRPr="0093160A" w:rsidRDefault="00E3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93160A">
              <w:rPr>
                <w:rFonts w:ascii="Arial" w:eastAsia="Arial" w:hAnsi="Arial" w:cs="Arial"/>
                <w:color w:val="000000"/>
                <w:sz w:val="21"/>
                <w:szCs w:val="21"/>
              </w:rPr>
              <w:t>Date:</w:t>
            </w:r>
          </w:p>
        </w:tc>
      </w:tr>
    </w:tbl>
    <w:p w14:paraId="346A601B" w14:textId="77777777" w:rsidR="00C115DF" w:rsidRPr="0093160A" w:rsidRDefault="00C115DF" w:rsidP="0093160A">
      <w:pPr>
        <w:tabs>
          <w:tab w:val="left" w:pos="3310"/>
        </w:tabs>
        <w:ind w:leftChars="0" w:left="0" w:firstLineChars="0" w:firstLine="0"/>
        <w:rPr>
          <w:rFonts w:ascii="Tahoma" w:eastAsia="Tahoma" w:hAnsi="Tahoma" w:cs="Tahoma"/>
          <w:sz w:val="21"/>
          <w:szCs w:val="21"/>
        </w:rPr>
      </w:pPr>
    </w:p>
    <w:sectPr w:rsidR="00C115DF" w:rsidRPr="0093160A" w:rsidSect="00931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1923E" w14:textId="77777777" w:rsidR="00D2708E" w:rsidRDefault="00D2708E">
      <w:pPr>
        <w:spacing w:line="240" w:lineRule="auto"/>
        <w:ind w:left="0" w:hanging="2"/>
      </w:pPr>
      <w:r>
        <w:separator/>
      </w:r>
    </w:p>
  </w:endnote>
  <w:endnote w:type="continuationSeparator" w:id="0">
    <w:p w14:paraId="51857546" w14:textId="77777777" w:rsidR="00D2708E" w:rsidRDefault="00D270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CF649" w14:textId="77777777" w:rsidR="0093160A" w:rsidRDefault="0093160A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72B54" w14:textId="2305E0AD" w:rsidR="0093160A" w:rsidRDefault="0093160A" w:rsidP="0093160A">
    <w:pPr>
      <w:pStyle w:val="NoSpacing"/>
    </w:pPr>
  </w:p>
  <w:sdt>
    <w:sdtPr>
      <w:rPr>
        <w:color w:val="808080" w:themeColor="background1" w:themeShade="80"/>
      </w:rPr>
      <w:id w:val="-244192485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sdt>
        <w:sdtPr>
          <w:rPr>
            <w:color w:val="808080" w:themeColor="background1" w:themeShade="80"/>
          </w:rPr>
          <w:id w:val="-5424439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41B6235C" w14:textId="47E27FFF" w:rsidR="0093160A" w:rsidRPr="00984F3B" w:rsidRDefault="0093160A" w:rsidP="0093160A">
            <w:pPr>
              <w:pStyle w:val="NoSpacing"/>
              <w:rPr>
                <w:rFonts w:ascii="Calibri" w:hAnsi="Calibri"/>
                <w:color w:val="808080" w:themeColor="background1" w:themeShade="80"/>
                <w:sz w:val="18"/>
                <w:szCs w:val="18"/>
              </w:rPr>
            </w:pPr>
            <w:r w:rsidRPr="00984F3B">
              <w:rPr>
                <w:rFonts w:ascii="Calibri" w:hAnsi="Calibri"/>
                <w:color w:val="808080" w:themeColor="background1" w:themeShade="80"/>
                <w:sz w:val="18"/>
                <w:szCs w:val="18"/>
              </w:rPr>
              <w:t>_______________________________________________________________________________________</w:t>
            </w:r>
          </w:p>
          <w:p w14:paraId="03776534" w14:textId="77777777" w:rsidR="0093160A" w:rsidRPr="00984F3B" w:rsidRDefault="0093160A" w:rsidP="0093160A">
            <w:pPr>
              <w:pStyle w:val="NoSpacing"/>
              <w:ind w:hanging="2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808080" w:themeColor="background1" w:themeShade="8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3B0C844" wp14:editId="5FFFE15F">
                  <wp:simplePos x="0" y="0"/>
                  <wp:positionH relativeFrom="column">
                    <wp:posOffset>6029325</wp:posOffset>
                  </wp:positionH>
                  <wp:positionV relativeFrom="paragraph">
                    <wp:posOffset>46355</wp:posOffset>
                  </wp:positionV>
                  <wp:extent cx="504825" cy="505616"/>
                  <wp:effectExtent l="0" t="0" r="0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fsted_Outstanding_OP_Colou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5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4F3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Stepney Way, London, E1 0RH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| 0207 790 6712 | </w:t>
            </w:r>
            <w:hyperlink r:id="rId2" w:history="1">
              <w:r w:rsidRPr="00FA766D">
                <w:rPr>
                  <w:rStyle w:val="Hyperlink"/>
                  <w:rFonts w:ascii="Arial" w:hAnsi="Arial" w:cs="Arial"/>
                  <w:sz w:val="18"/>
                  <w:szCs w:val="18"/>
                </w:rPr>
                <w:t>www.StepneyAllSaints.School</w:t>
              </w:r>
            </w:hyperlink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| </w:t>
            </w:r>
            <w:proofErr w:type="spellStart"/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</w:t>
            </w:r>
            <w:r w:rsidRPr="00984F3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nfo@stepneyallsaints.school</w:t>
            </w:r>
            <w:proofErr w:type="spellEnd"/>
          </w:p>
          <w:p w14:paraId="16723B22" w14:textId="77777777" w:rsidR="0093160A" w:rsidRPr="00984F3B" w:rsidRDefault="0093160A" w:rsidP="0093160A">
            <w:pPr>
              <w:pStyle w:val="NoSpacing"/>
              <w:ind w:hanging="2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84F3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Follow us on Facebook </w:t>
            </w:r>
            <w:r w:rsidRPr="009814E0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and X (formerly Twitter)</w:t>
            </w:r>
            <w:r w:rsidRPr="00984F3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@</w:t>
            </w:r>
            <w:proofErr w:type="spellStart"/>
            <w:r w:rsidRPr="00984F3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StepneyAS</w:t>
            </w:r>
            <w:proofErr w:type="spellEnd"/>
          </w:p>
          <w:p w14:paraId="37534684" w14:textId="77777777" w:rsidR="0093160A" w:rsidRPr="00984F3B" w:rsidRDefault="0093160A" w:rsidP="0093160A">
            <w:pPr>
              <w:pStyle w:val="NoSpacing"/>
              <w:ind w:hanging="2"/>
              <w:rPr>
                <w:rFonts w:ascii="Arial" w:hAnsi="Arial" w:cs="Arial"/>
                <w:b/>
                <w:color w:val="808080" w:themeColor="background1" w:themeShade="80"/>
                <w:sz w:val="24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Achieving excellence and inspiring generations</w:t>
            </w:r>
            <w:r w:rsidRPr="00CD1440">
              <w:rPr>
                <w:rFonts w:ascii="Arial" w:hAnsi="Arial" w:cs="Arial"/>
                <w:b/>
                <w:color w:val="808080" w:themeColor="background1" w:themeShade="80"/>
                <w:sz w:val="20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74152" w14:textId="77777777" w:rsidR="0093160A" w:rsidRDefault="0093160A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582A4" w14:textId="77777777" w:rsidR="00D2708E" w:rsidRDefault="00D2708E">
      <w:pPr>
        <w:spacing w:line="240" w:lineRule="auto"/>
        <w:ind w:left="0" w:hanging="2"/>
      </w:pPr>
      <w:r>
        <w:separator/>
      </w:r>
    </w:p>
  </w:footnote>
  <w:footnote w:type="continuationSeparator" w:id="0">
    <w:p w14:paraId="4D8AB53F" w14:textId="77777777" w:rsidR="00D2708E" w:rsidRDefault="00D2708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58191" w14:textId="77777777" w:rsidR="0093160A" w:rsidRDefault="0093160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CE43C" w14:textId="77777777" w:rsidR="0093160A" w:rsidRDefault="0093160A" w:rsidP="0093160A">
    <w:pPr>
      <w:tabs>
        <w:tab w:val="center" w:pos="4153"/>
        <w:tab w:val="right" w:pos="8306"/>
      </w:tabs>
      <w:spacing w:before="240" w:after="240"/>
      <w:ind w:left="3" w:hanging="5"/>
      <w:jc w:val="center"/>
      <w:rPr>
        <w:rFonts w:ascii="Arial" w:eastAsia="Arial" w:hAnsi="Arial" w:cs="Arial"/>
        <w:b/>
        <w:color w:val="02529B"/>
        <w:sz w:val="48"/>
        <w:szCs w:val="48"/>
      </w:rPr>
    </w:pPr>
    <w:r>
      <w:rPr>
        <w:rFonts w:ascii="Arial" w:eastAsia="Arial" w:hAnsi="Arial" w:cs="Arial"/>
        <w:b/>
        <w:color w:val="02529B"/>
        <w:sz w:val="48"/>
        <w:szCs w:val="48"/>
      </w:rPr>
      <w:t>Stepney All Saints School</w:t>
    </w:r>
  </w:p>
  <w:p w14:paraId="4A5C9D66" w14:textId="77777777" w:rsidR="0093160A" w:rsidRDefault="0093160A" w:rsidP="0093160A">
    <w:pPr>
      <w:tabs>
        <w:tab w:val="center" w:pos="4153"/>
        <w:tab w:val="right" w:pos="8306"/>
      </w:tabs>
      <w:spacing w:before="240" w:after="240"/>
      <w:ind w:left="0" w:hanging="2"/>
      <w:jc w:val="center"/>
      <w:rPr>
        <w:rFonts w:ascii="Arial" w:eastAsia="Arial" w:hAnsi="Arial" w:cs="Arial"/>
        <w:color w:val="02529B"/>
      </w:rPr>
    </w:pPr>
    <w:r>
      <w:rPr>
        <w:rFonts w:ascii="Arial" w:eastAsia="Arial" w:hAnsi="Arial" w:cs="Arial"/>
        <w:color w:val="02529B"/>
      </w:rPr>
      <w:t>We Learn Together | We Pray Together | We Achieve Together</w:t>
    </w:r>
  </w:p>
  <w:p w14:paraId="73DA8879" w14:textId="08A90FA2" w:rsidR="00C115DF" w:rsidRDefault="0093160A" w:rsidP="0093160A">
    <w:pPr>
      <w:pStyle w:val="Header"/>
      <w:ind w:left="0" w:hanging="2"/>
      <w:jc w:val="center"/>
      <w:rPr>
        <w:rFonts w:ascii="Arial" w:eastAsia="Arial" w:hAnsi="Arial" w:cs="Arial"/>
        <w:sz w:val="20"/>
        <w:szCs w:val="20"/>
      </w:rPr>
    </w:pPr>
    <w:proofErr w:type="spellStart"/>
    <w:r>
      <w:rPr>
        <w:rFonts w:ascii="Arial" w:eastAsia="Arial" w:hAnsi="Arial" w:cs="Arial"/>
        <w:sz w:val="20"/>
        <w:szCs w:val="20"/>
      </w:rPr>
      <w:t>Headteacher</w:t>
    </w:r>
    <w:proofErr w:type="spellEnd"/>
    <w:r>
      <w:rPr>
        <w:rFonts w:ascii="Arial" w:eastAsia="Arial" w:hAnsi="Arial" w:cs="Arial"/>
        <w:sz w:val="20"/>
        <w:szCs w:val="20"/>
      </w:rPr>
      <w:t>: Mr B Siaw</w:t>
    </w:r>
  </w:p>
  <w:p w14:paraId="58C96742" w14:textId="77777777" w:rsidR="0093160A" w:rsidRPr="0093160A" w:rsidRDefault="0093160A" w:rsidP="0093160A">
    <w:pPr>
      <w:pStyle w:val="Header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77331" w14:textId="77777777" w:rsidR="0093160A" w:rsidRDefault="0093160A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80E60"/>
    <w:multiLevelType w:val="multilevel"/>
    <w:tmpl w:val="4626B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7C23910"/>
    <w:multiLevelType w:val="multilevel"/>
    <w:tmpl w:val="AFA8612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F"/>
    <w:rsid w:val="00191A62"/>
    <w:rsid w:val="00557215"/>
    <w:rsid w:val="00606BBE"/>
    <w:rsid w:val="006C2D2D"/>
    <w:rsid w:val="0093160A"/>
    <w:rsid w:val="00A97D49"/>
    <w:rsid w:val="00C115DF"/>
    <w:rsid w:val="00D2708E"/>
    <w:rsid w:val="00E37C88"/>
    <w:rsid w:val="00F367AF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1D19F"/>
  <w15:docId w15:val="{58AE82ED-E928-4A4D-BECF-9A861039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</w:pPr>
    <w:rPr>
      <w:b/>
      <w:sz w:val="20"/>
      <w:lang w:val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lang w:val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yle">
    <w:name w:val="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customStyle="1" w:styleId="FooterChar">
    <w:name w:val="Footer Char"/>
    <w:basedOn w:val="DefaultParagraphFont"/>
    <w:link w:val="Footer"/>
    <w:uiPriority w:val="99"/>
    <w:rsid w:val="0093160A"/>
    <w:rPr>
      <w:position w:val="-1"/>
      <w:lang w:eastAsia="en-US"/>
    </w:rPr>
  </w:style>
  <w:style w:type="paragraph" w:styleId="NoSpacing">
    <w:name w:val="No Spacing"/>
    <w:uiPriority w:val="1"/>
    <w:qFormat/>
    <w:rsid w:val="0093160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epneyAllSaints.Schoo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OjxI9BL+153Tji1JOglYqC6fKA==">AMUW2mUUBmWwQG5ol/tpLz8k43r9UR+75zR8mPdc+1mDWGsGs7eFylwMKxEAvv6AckkFbPNehBTci3iOIwAh4QJoi0/9FguPRYW8Q6GQkpGt9+X+sawLAJM=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hallr</dc:creator>
  <cp:lastModifiedBy>Oscar Harrison</cp:lastModifiedBy>
  <cp:revision>3</cp:revision>
  <dcterms:created xsi:type="dcterms:W3CDTF">2024-11-22T12:35:00Z</dcterms:created>
  <dcterms:modified xsi:type="dcterms:W3CDTF">2024-11-22T12:37:00Z</dcterms:modified>
</cp:coreProperties>
</file>