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right="-704.5275590551165" w:hanging="566.9291338582677"/>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2">
      <w:pPr>
        <w:spacing w:line="240" w:lineRule="auto"/>
        <w:ind w:right="-704.5275590551165" w:hanging="566.9291338582677"/>
        <w:jc w:val="left"/>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03">
      <w:pPr>
        <w:spacing w:line="240" w:lineRule="auto"/>
        <w:ind w:right="-704.5275590551165" w:hanging="566.9291338582677"/>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Applicant</w:t>
      </w:r>
    </w:p>
    <w:p w:rsidR="00000000" w:rsidDel="00000000" w:rsidP="00000000" w:rsidRDefault="00000000" w:rsidRPr="00000000" w14:paraId="00000004">
      <w:pPr>
        <w:spacing w:line="240" w:lineRule="auto"/>
        <w:ind w:right="-704.5275590551165" w:hanging="566.9291338582677"/>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ind w:right="-704.5275590551165" w:hanging="566.9291338582677"/>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Thank you for your interest in a teaching post advertised at Parkfield.</w:t>
      </w:r>
    </w:p>
    <w:p w:rsidR="00000000" w:rsidDel="00000000" w:rsidP="00000000" w:rsidRDefault="00000000" w:rsidRPr="00000000" w14:paraId="00000006">
      <w:pPr>
        <w:spacing w:line="240" w:lineRule="auto"/>
        <w:ind w:right="-704.5275590551165" w:hanging="566.9291338582677"/>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Parkfield is a two form entry school with a large nursery which has places for 2 and 3 year olds.  We have close links with the Children’s Centre which shares our site.  Our school building opened in 2009.  The children at Parkfield come from a variety of social and cultural backgrounds and we value and celebrate all of them.  Between them they can speak around 60 languages.  We are very proud of the excellent behaviour of our pupils and the positive support we receive from their families.</w:t>
      </w:r>
    </w:p>
    <w:p w:rsidR="00000000" w:rsidDel="00000000" w:rsidP="00000000" w:rsidRDefault="00000000" w:rsidRPr="00000000" w14:paraId="00000008">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August 2013 Parkfield became part of the Elliot Foundation Academies Trust.  This gives us opportunities to work with other primary schools in London and also in the Midlands and East Anglia.  Being part of the Trust gives us many opportunities for CPD and collaboration.  In July 2015 we were delighted to be judged by Ofsted as a good school with outstanding EYFS provision, a judgement that was confirmed by a further visit in March 2019.</w:t>
      </w:r>
    </w:p>
    <w:p w:rsidR="00000000" w:rsidDel="00000000" w:rsidP="00000000" w:rsidRDefault="00000000" w:rsidRPr="00000000" w14:paraId="0000000A">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strength of our school is the ethos of teamwork.  Year groups plan as teams and are supported regularly by the Senior Leadership Team.  Each class has the support of a Teaching Assistant or Nursery Nurse, full time in EYFS and part time in other year groups, depending on need.  PPA is covered by giving each year group team a day each fortnight to plan and prepare together.  Our ‘connected curriculum’ is structured but gives scope for teachers to be creative about the themes that frame the children’s work.  Please have a look at our website for information on how our curriculum works.</w:t>
      </w:r>
    </w:p>
    <w:p w:rsidR="00000000" w:rsidDel="00000000" w:rsidP="00000000" w:rsidRDefault="00000000" w:rsidRPr="00000000" w14:paraId="0000000C">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aim is to recruit either experienced teachers or those starting their career.  All of our experienced teachers lead an area of the curriculum but have the support of working in a team with leaders of other subjects. We are happy to encourage and support those ambitious to advance their career and take on new responsibilities.   ECT are given release time for their development and are mentored by one of our Senior Leaders.  They also have access to a programme of CPD provided by our Academy Trust.</w:t>
      </w:r>
    </w:p>
    <w:p w:rsidR="00000000" w:rsidDel="00000000" w:rsidP="00000000" w:rsidRDefault="00000000" w:rsidRPr="00000000" w14:paraId="0000000E">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Those of us who work at Parkfield think that it is a very special place and we hope that  you will be interested in coming to join us.  You are very welcome to come and look around if you would like to, please call the school office for an appointment.  I would also encourage you to look at our website, Parkfieldschool.com, for more information about our exciting curriculum.</w:t>
      </w:r>
    </w:p>
    <w:p w:rsidR="00000000" w:rsidDel="00000000" w:rsidP="00000000" w:rsidRDefault="00000000" w:rsidRPr="00000000" w14:paraId="00000010">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look forward to hearing from you.</w:t>
      </w:r>
    </w:p>
    <w:p w:rsidR="00000000" w:rsidDel="00000000" w:rsidP="00000000" w:rsidRDefault="00000000" w:rsidRPr="00000000" w14:paraId="00000012">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Yours faithfully</w:t>
      </w:r>
    </w:p>
    <w:p w:rsidR="00000000" w:rsidDel="00000000" w:rsidP="00000000" w:rsidRDefault="00000000" w:rsidRPr="00000000" w14:paraId="00000014">
      <w:pPr>
        <w:spacing w:line="240" w:lineRule="auto"/>
        <w:ind w:left="-566.9291338582677" w:right="-704.527559055116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ind w:left="-566.9291338582677" w:right="-704.527559055116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Alison Holding</w:t>
      </w:r>
    </w:p>
    <w:p w:rsidR="00000000" w:rsidDel="00000000" w:rsidP="00000000" w:rsidRDefault="00000000" w:rsidRPr="00000000" w14:paraId="00000016">
      <w:pPr>
        <w:spacing w:line="240" w:lineRule="auto"/>
        <w:ind w:left="-566.9291338582677" w:right="-704.5275590551165" w:firstLine="0"/>
        <w:jc w:val="both"/>
        <w:rPr>
          <w:sz w:val="26"/>
          <w:szCs w:val="26"/>
        </w:rPr>
      </w:pPr>
      <w:r w:rsidDel="00000000" w:rsidR="00000000" w:rsidRPr="00000000">
        <w:rPr>
          <w:rFonts w:ascii="Calibri" w:cs="Calibri" w:eastAsia="Calibri" w:hAnsi="Calibri"/>
          <w:sz w:val="24"/>
          <w:szCs w:val="24"/>
          <w:rtl w:val="0"/>
        </w:rPr>
        <w:t xml:space="preserve">Headteacher</w:t>
      </w:r>
      <w:r w:rsidDel="00000000" w:rsidR="00000000" w:rsidRPr="00000000">
        <w:rPr>
          <w:rtl w:val="0"/>
        </w:rPr>
      </w:r>
    </w:p>
    <w:p w:rsidR="00000000" w:rsidDel="00000000" w:rsidP="00000000" w:rsidRDefault="00000000" w:rsidRPr="00000000" w14:paraId="00000017">
      <w:pPr>
        <w:pageBreakBefore w:val="0"/>
        <w:spacing w:line="240" w:lineRule="auto"/>
        <w:jc w:val="both"/>
        <w:rPr>
          <w:sz w:val="24"/>
          <w:szCs w:val="24"/>
        </w:rPr>
      </w:pPr>
      <w:r w:rsidDel="00000000" w:rsidR="00000000" w:rsidRPr="00000000">
        <w:rPr>
          <w:rtl w:val="0"/>
        </w:rPr>
      </w:r>
    </w:p>
    <w:sectPr>
      <w:headerReference r:id="rId6" w:type="default"/>
      <w:headerReference r:id="rId7" w:type="first"/>
      <w:footerReference r:id="rId8" w:type="first"/>
      <w:pgSz w:h="16834" w:w="11909" w:orient="portrait"/>
      <w:pgMar w:bottom="1440" w:top="1440" w:left="1440" w:right="1399.1338582677172"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ageBreakBefore w:val="0"/>
      <w:jc w:val="center"/>
      <w:rPr>
        <w:rFonts w:ascii="Comic Sans MS" w:cs="Comic Sans MS" w:eastAsia="Comic Sans MS" w:hAnsi="Comic Sans MS"/>
        <w:color w:val="548dd4"/>
        <w:sz w:val="56"/>
        <w:szCs w:val="56"/>
      </w:rPr>
    </w:pPr>
    <w:r w:rsidDel="00000000" w:rsidR="00000000" w:rsidRPr="00000000">
      <w:rPr>
        <w:rFonts w:ascii="Comic Sans MS" w:cs="Comic Sans MS" w:eastAsia="Comic Sans MS" w:hAnsi="Comic Sans MS"/>
        <w:color w:val="548dd4"/>
        <w:sz w:val="56"/>
        <w:szCs w:val="56"/>
        <w:rtl w:val="0"/>
      </w:rPr>
      <w:t xml:space="preserve">Parkfield Primary School</w:t>
    </w:r>
    <w:r w:rsidDel="00000000" w:rsidR="00000000" w:rsidRPr="00000000">
      <w:drawing>
        <wp:anchor allowOverlap="1" behindDoc="0" distB="0" distT="0" distL="114300" distR="114300" hidden="0" layoutInCell="1" locked="0" relativeHeight="0" simplePos="0">
          <wp:simplePos x="0" y="0"/>
          <wp:positionH relativeFrom="column">
            <wp:posOffset>5600700</wp:posOffset>
          </wp:positionH>
          <wp:positionV relativeFrom="paragraph">
            <wp:posOffset>-52387</wp:posOffset>
          </wp:positionV>
          <wp:extent cx="876300" cy="97466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6300" cy="9746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-638174</wp:posOffset>
          </wp:positionH>
          <wp:positionV relativeFrom="paragraph">
            <wp:posOffset>-52387</wp:posOffset>
          </wp:positionV>
          <wp:extent cx="877786" cy="976313"/>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77786" cy="976313"/>
                  </a:xfrm>
                  <a:prstGeom prst="rect"/>
                  <a:ln/>
                </pic:spPr>
              </pic:pic>
            </a:graphicData>
          </a:graphic>
        </wp:anchor>
      </w:drawing>
    </w:r>
  </w:p>
  <w:p w:rsidR="00000000" w:rsidDel="00000000" w:rsidP="00000000" w:rsidRDefault="00000000" w:rsidRPr="00000000" w14:paraId="0000001A">
    <w:pPr>
      <w:pageBreakBefore w:val="0"/>
      <w:ind w:left="1275.5905511811022" w:firstLine="0"/>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17 St David’s Place, Hendon, London NW4 3PJ</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1282700</wp:posOffset>
              </wp:positionV>
              <wp:extent cx="98425" cy="76200"/>
              <wp:effectExtent b="0" l="0" r="0" t="0"/>
              <wp:wrapNone/>
              <wp:docPr id="1" name=""/>
              <a:graphic>
                <a:graphicData uri="http://schemas.microsoft.com/office/word/2010/wordprocessingShape">
                  <wps:wsp>
                    <wps:cNvSpPr/>
                    <wps:cNvPr id="2" name="Shape 2"/>
                    <wps:spPr>
                      <a:xfrm>
                        <a:off x="5301550" y="3746663"/>
                        <a:ext cx="88900" cy="66675"/>
                      </a:xfrm>
                      <a:custGeom>
                        <a:rect b="b" l="l" r="r" t="t"/>
                        <a:pathLst>
                          <a:path extrusionOk="0" h="66675" w="88900">
                            <a:moveTo>
                              <a:pt x="0" y="0"/>
                            </a:moveTo>
                            <a:lnTo>
                              <a:pt x="0" y="66675"/>
                            </a:lnTo>
                            <a:lnTo>
                              <a:pt x="88900" y="66675"/>
                            </a:lnTo>
                            <a:lnTo>
                              <a:pt x="8890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72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1282700</wp:posOffset>
              </wp:positionV>
              <wp:extent cx="98425" cy="762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98425" cy="76200"/>
                      </a:xfrm>
                      <a:prstGeom prst="rect"/>
                      <a:ln/>
                    </pic:spPr>
                  </pic:pic>
                </a:graphicData>
              </a:graphic>
            </wp:anchor>
          </w:drawing>
        </mc:Fallback>
      </mc:AlternateContent>
    </w:r>
  </w:p>
  <w:p w:rsidR="00000000" w:rsidDel="00000000" w:rsidP="00000000" w:rsidRDefault="00000000" w:rsidRPr="00000000" w14:paraId="0000001B">
    <w:pPr>
      <w:pageBreakBefore w:val="0"/>
      <w:rPr>
        <w:rFonts w:ascii="Comic Sans MS" w:cs="Comic Sans MS" w:eastAsia="Comic Sans MS" w:hAnsi="Comic Sans MS"/>
        <w:sz w:val="20"/>
        <w:szCs w:val="20"/>
      </w:rPr>
    </w:pPr>
    <w:r w:rsidDel="00000000" w:rsidR="00000000" w:rsidRPr="00000000">
      <w:rPr>
        <w:rFonts w:ascii="Comic Sans MS" w:cs="Comic Sans MS" w:eastAsia="Comic Sans MS" w:hAnsi="Comic Sans MS"/>
        <w:sz w:val="20"/>
        <w:szCs w:val="20"/>
        <w:rtl w:val="0"/>
      </w:rPr>
      <w:t xml:space="preserve">020 8202 0454     </w:t>
    </w:r>
    <w:hyperlink r:id="rId3">
      <w:r w:rsidDel="00000000" w:rsidR="00000000" w:rsidRPr="00000000">
        <w:rPr>
          <w:rFonts w:ascii="Comic Sans MS" w:cs="Comic Sans MS" w:eastAsia="Comic Sans MS" w:hAnsi="Comic Sans MS"/>
          <w:color w:val="1155cc"/>
          <w:sz w:val="20"/>
          <w:szCs w:val="20"/>
          <w:u w:val="single"/>
          <w:rtl w:val="0"/>
        </w:rPr>
        <w:t xml:space="preserve">office@parkfield.barnetmail.net</w:t>
      </w:r>
    </w:hyperlink>
    <w:r w:rsidDel="00000000" w:rsidR="00000000" w:rsidRPr="00000000">
      <w:rPr>
        <w:rtl w:val="0"/>
      </w:rPr>
      <w:t xml:space="preserve">        </w:t>
    </w:r>
    <w:hyperlink r:id="rId4">
      <w:r w:rsidDel="00000000" w:rsidR="00000000" w:rsidRPr="00000000">
        <w:rPr>
          <w:rFonts w:ascii="Comic Sans MS" w:cs="Comic Sans MS" w:eastAsia="Comic Sans MS" w:hAnsi="Comic Sans MS"/>
          <w:color w:val="1155cc"/>
          <w:sz w:val="20"/>
          <w:szCs w:val="20"/>
          <w:u w:val="single"/>
          <w:rtl w:val="0"/>
        </w:rPr>
        <w:t xml:space="preserve">www.parkfieldschool.com</w:t>
      </w:r>
    </w:hyperlink>
    <w:r w:rsidDel="00000000" w:rsidR="00000000" w:rsidRPr="00000000">
      <w:rPr>
        <w:rtl w:val="0"/>
      </w:rPr>
    </w:r>
  </w:p>
  <w:p w:rsidR="00000000" w:rsidDel="00000000" w:rsidP="00000000" w:rsidRDefault="00000000" w:rsidRPr="00000000" w14:paraId="0000001C">
    <w:pPr>
      <w:pageBreakBefore w:val="0"/>
      <w:jc w:val="center"/>
      <w:rPr>
        <w:rFonts w:ascii="Comic Sans MS" w:cs="Comic Sans MS" w:eastAsia="Comic Sans MS" w:hAnsi="Comic Sans MS"/>
        <w:color w:val="548dd4"/>
        <w:sz w:val="56"/>
        <w:szCs w:val="56"/>
      </w:rPr>
    </w:pPr>
    <w:r w:rsidDel="00000000" w:rsidR="00000000" w:rsidRPr="00000000">
      <w:rPr>
        <w:rFonts w:ascii="Comic Sans MS" w:cs="Comic Sans MS" w:eastAsia="Comic Sans MS" w:hAnsi="Comic Sans MS"/>
        <w:b w:val="1"/>
        <w:color w:val="95b3d7"/>
        <w:sz w:val="20"/>
        <w:szCs w:val="20"/>
        <w:rtl w:val="0"/>
      </w:rPr>
      <w:t xml:space="preserve">Headteacher: Alison Holding B.Ed (Hons) NPQH</w:t>
    </w: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 Id="rId3" Type="http://schemas.openxmlformats.org/officeDocument/2006/relationships/hyperlink" Target="mailto:office@parkfield.barnetmail.net" TargetMode="External"/><Relationship Id="rId4" Type="http://schemas.openxmlformats.org/officeDocument/2006/relationships/hyperlink" Target="http://www.parkfieldscho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