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15" w:type="dxa"/>
          <w:bottom w:w="43" w:type="dxa"/>
          <w:right w:w="115" w:type="dxa"/>
        </w:tblCellMar>
        <w:tblLook w:val="0000" w:firstRow="0" w:lastRow="0" w:firstColumn="0" w:lastColumn="0" w:noHBand="0" w:noVBand="0"/>
      </w:tblPr>
      <w:tblGrid>
        <w:gridCol w:w="9045"/>
      </w:tblGrid>
      <w:tr w:rsidR="00931C68">
        <w:trPr>
          <w:trHeight w:val="370"/>
        </w:trPr>
        <w:tc>
          <w:tcPr>
            <w:tcW w:w="9045" w:type="dxa"/>
          </w:tcPr>
          <w:p w:rsidR="00931C68" w:rsidRDefault="00931C68">
            <w:pPr>
              <w:rPr>
                <w:rFonts w:cs="Arial"/>
              </w:rPr>
            </w:pPr>
            <w:bookmarkStart w:id="0" w:name="_GoBack"/>
            <w:bookmarkEnd w:id="0"/>
          </w:p>
        </w:tc>
      </w:tr>
      <w:tr w:rsidR="00ED20EA" w:rsidTr="00781061">
        <w:tc>
          <w:tcPr>
            <w:tcW w:w="9045" w:type="dxa"/>
          </w:tcPr>
          <w:p w:rsidR="00ED20EA" w:rsidRDefault="00ED20EA">
            <w:pPr>
              <w:jc w:val="right"/>
              <w:rPr>
                <w:rFonts w:cs="Arial"/>
              </w:rPr>
            </w:pPr>
            <w:r>
              <w:rPr>
                <w:noProof/>
                <w:lang w:eastAsia="en-GB"/>
              </w:rPr>
              <w:drawing>
                <wp:anchor distT="0" distB="0" distL="114300" distR="114300" simplePos="0" relativeHeight="251664896" behindDoc="0" locked="0" layoutInCell="1" allowOverlap="1" wp14:anchorId="73C28515" wp14:editId="087865E7">
                  <wp:simplePos x="0" y="0"/>
                  <wp:positionH relativeFrom="column">
                    <wp:posOffset>4033520</wp:posOffset>
                  </wp:positionH>
                  <wp:positionV relativeFrom="paragraph">
                    <wp:posOffset>12700</wp:posOffset>
                  </wp:positionV>
                  <wp:extent cx="1497965" cy="904875"/>
                  <wp:effectExtent l="0" t="0" r="698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y&amp;gradi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497965"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1" locked="0" layoutInCell="1" allowOverlap="1" wp14:anchorId="0DE9F85B" wp14:editId="63E97FB1">
                  <wp:simplePos x="0" y="0"/>
                  <wp:positionH relativeFrom="column">
                    <wp:posOffset>6532880</wp:posOffset>
                  </wp:positionH>
                  <wp:positionV relativeFrom="paragraph">
                    <wp:posOffset>231775</wp:posOffset>
                  </wp:positionV>
                  <wp:extent cx="590550" cy="981075"/>
                  <wp:effectExtent l="0" t="0" r="0"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981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848" behindDoc="1" locked="0" layoutInCell="1" allowOverlap="1" wp14:anchorId="0FD491D4" wp14:editId="68EB3466">
                  <wp:simplePos x="0" y="0"/>
                  <wp:positionH relativeFrom="column">
                    <wp:posOffset>6532880</wp:posOffset>
                  </wp:positionH>
                  <wp:positionV relativeFrom="paragraph">
                    <wp:posOffset>231775</wp:posOffset>
                  </wp:positionV>
                  <wp:extent cx="590550" cy="981075"/>
                  <wp:effectExtent l="0" t="0" r="0" b="952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981075"/>
                          </a:xfrm>
                          <a:prstGeom prst="rect">
                            <a:avLst/>
                          </a:prstGeom>
                          <a:noFill/>
                        </pic:spPr>
                      </pic:pic>
                    </a:graphicData>
                  </a:graphic>
                  <wp14:sizeRelH relativeFrom="page">
                    <wp14:pctWidth>0</wp14:pctWidth>
                  </wp14:sizeRelH>
                  <wp14:sizeRelV relativeFrom="page">
                    <wp14:pctHeight>0</wp14:pctHeight>
                  </wp14:sizeRelV>
                </wp:anchor>
              </w:drawing>
            </w:r>
          </w:p>
        </w:tc>
      </w:tr>
      <w:tr w:rsidR="00931C68">
        <w:trPr>
          <w:trHeight w:val="339"/>
        </w:trPr>
        <w:tc>
          <w:tcPr>
            <w:tcW w:w="9045" w:type="dxa"/>
          </w:tcPr>
          <w:p w:rsidR="00931C68" w:rsidRDefault="00931C68">
            <w:pPr>
              <w:pStyle w:val="Heading1"/>
            </w:pPr>
            <w:r>
              <w:t>JOB DETAILS</w:t>
            </w:r>
          </w:p>
        </w:tc>
      </w:tr>
    </w:tbl>
    <w:p w:rsidR="00931C68" w:rsidRDefault="00931C68">
      <w:pPr>
        <w:rPr>
          <w:rFonts w:cs="Arial"/>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1764"/>
        <w:gridCol w:w="7293"/>
      </w:tblGrid>
      <w:tr w:rsidR="00931C68">
        <w:trPr>
          <w:cantSplit/>
          <w:jc w:val="center"/>
        </w:trPr>
        <w:tc>
          <w:tcPr>
            <w:tcW w:w="1764" w:type="dxa"/>
            <w:shd w:val="clear" w:color="auto" w:fill="F3F3F3"/>
            <w:vAlign w:val="center"/>
          </w:tcPr>
          <w:p w:rsidR="00931C68" w:rsidRDefault="00931C68">
            <w:r>
              <w:rPr>
                <w:rFonts w:cs="Arial"/>
                <w:b/>
                <w:bCs/>
                <w:szCs w:val="22"/>
              </w:rPr>
              <w:t>Job Title:</w:t>
            </w:r>
          </w:p>
        </w:tc>
        <w:tc>
          <w:tcPr>
            <w:tcW w:w="7293" w:type="dxa"/>
            <w:tcBorders>
              <w:top w:val="single" w:sz="4" w:space="0" w:color="auto"/>
              <w:bottom w:val="single" w:sz="4" w:space="0" w:color="auto"/>
            </w:tcBorders>
            <w:vAlign w:val="center"/>
          </w:tcPr>
          <w:p w:rsidR="00931C68" w:rsidRDefault="00931C68" w:rsidP="0026158A">
            <w:r>
              <w:t xml:space="preserve">Headteacher, Taunton Deane Partnership College </w:t>
            </w:r>
            <w:r w:rsidR="0026158A">
              <w:t>(TDPC)</w:t>
            </w:r>
          </w:p>
        </w:tc>
      </w:tr>
      <w:tr w:rsidR="00931C68">
        <w:trPr>
          <w:cantSplit/>
          <w:jc w:val="center"/>
        </w:trPr>
        <w:tc>
          <w:tcPr>
            <w:tcW w:w="1764" w:type="dxa"/>
            <w:tcBorders>
              <w:bottom w:val="single" w:sz="12" w:space="0" w:color="auto"/>
            </w:tcBorders>
            <w:shd w:val="clear" w:color="auto" w:fill="F3F3F3"/>
            <w:vAlign w:val="center"/>
          </w:tcPr>
          <w:p w:rsidR="00931C68" w:rsidRDefault="00931C68">
            <w:r>
              <w:rPr>
                <w:rFonts w:cs="Arial"/>
                <w:b/>
                <w:bCs/>
                <w:szCs w:val="22"/>
              </w:rPr>
              <w:t>Reports To:</w:t>
            </w:r>
          </w:p>
        </w:tc>
        <w:tc>
          <w:tcPr>
            <w:tcW w:w="7293" w:type="dxa"/>
            <w:tcBorders>
              <w:top w:val="single" w:sz="4" w:space="0" w:color="auto"/>
              <w:bottom w:val="single" w:sz="12" w:space="0" w:color="auto"/>
            </w:tcBorders>
            <w:vAlign w:val="center"/>
          </w:tcPr>
          <w:p w:rsidR="00931C68" w:rsidRDefault="00931C68" w:rsidP="00AF7115">
            <w:smartTag w:uri="urn:schemas-microsoft-com:office:smarttags" w:element="place">
              <w:smartTag w:uri="urn:schemas-microsoft-com:office:smarttags" w:element="PlaceName">
                <w:r>
                  <w:t>Taunton</w:t>
                </w:r>
              </w:smartTag>
              <w:r>
                <w:t xml:space="preserve"> </w:t>
              </w:r>
              <w:smartTag w:uri="urn:schemas-microsoft-com:office:smarttags" w:element="PlaceName">
                <w:r>
                  <w:t>Deane</w:t>
                </w:r>
              </w:smartTag>
              <w:r>
                <w:t xml:space="preserve"> </w:t>
              </w:r>
              <w:smartTag w:uri="urn:schemas-microsoft-com:office:smarttags" w:element="PlaceName">
                <w:r>
                  <w:t>Partnership</w:t>
                </w:r>
              </w:smartTag>
              <w:r>
                <w:t xml:space="preserve"> </w:t>
              </w:r>
              <w:smartTag w:uri="urn:schemas-microsoft-com:office:smarttags" w:element="PlaceType">
                <w:r>
                  <w:t>College</w:t>
                </w:r>
              </w:smartTag>
            </w:smartTag>
            <w:r>
              <w:t xml:space="preserve"> Management Committee</w:t>
            </w:r>
          </w:p>
        </w:tc>
      </w:tr>
      <w:tr w:rsidR="00931C68">
        <w:trPr>
          <w:cantSplit/>
          <w:jc w:val="center"/>
        </w:trPr>
        <w:tc>
          <w:tcPr>
            <w:tcW w:w="9057" w:type="dxa"/>
            <w:gridSpan w:val="2"/>
            <w:tcBorders>
              <w:top w:val="single" w:sz="12" w:space="0" w:color="auto"/>
            </w:tcBorders>
            <w:shd w:val="clear" w:color="auto" w:fill="F3F3F3"/>
          </w:tcPr>
          <w:p w:rsidR="00931C68" w:rsidRDefault="00931C68" w:rsidP="00F16A2D">
            <w:r>
              <w:rPr>
                <w:rFonts w:cs="Arial"/>
                <w:b/>
                <w:bCs/>
                <w:szCs w:val="22"/>
              </w:rPr>
              <w:t>Main Purpose of Job</w:t>
            </w:r>
            <w:r>
              <w:rPr>
                <w:rFonts w:cs="Arial"/>
                <w:szCs w:val="22"/>
              </w:rPr>
              <w:t xml:space="preserve">: </w:t>
            </w:r>
          </w:p>
        </w:tc>
      </w:tr>
      <w:tr w:rsidR="00931C68">
        <w:trPr>
          <w:cantSplit/>
          <w:jc w:val="center"/>
        </w:trPr>
        <w:tc>
          <w:tcPr>
            <w:tcW w:w="9057" w:type="dxa"/>
            <w:gridSpan w:val="2"/>
          </w:tcPr>
          <w:p w:rsidR="00931C68" w:rsidRDefault="00931C68">
            <w:r>
              <w:t xml:space="preserve">To be the strategic lead of the area Pupil Referral Unit comprising of a number of bases, and an advisory and outreach team working within the Taunton Deane and West Somerset area.  In order to develop outstanding provision and transform the educational potential and future life opportunities for children and young people for whom </w:t>
            </w:r>
            <w:r w:rsidR="0026158A">
              <w:t xml:space="preserve">TDPC </w:t>
            </w:r>
            <w:r>
              <w:t>is responsible, the Headteacher will provide vision, leadership and direction across the service, ensuring it is managed and organised by working strategically with partners and stakeholders.</w:t>
            </w:r>
          </w:p>
          <w:p w:rsidR="00931C68" w:rsidRDefault="00931C68"/>
          <w:p w:rsidR="00931C68" w:rsidRDefault="005C2E02" w:rsidP="00AF7115">
            <w:r>
              <w:t>The Headteacher</w:t>
            </w:r>
            <w:r w:rsidR="0026158A">
              <w:t xml:space="preserve"> </w:t>
            </w:r>
            <w:r>
              <w:t>has</w:t>
            </w:r>
            <w:r w:rsidR="00931C68">
              <w:t xml:space="preserve"> overall accountability for the education, alternative provision and service </w:t>
            </w:r>
            <w:r w:rsidR="0026158A">
              <w:t xml:space="preserve">TDPC </w:t>
            </w:r>
            <w:r w:rsidR="00931C68">
              <w:t>provides</w:t>
            </w:r>
            <w:r w:rsidR="0026158A">
              <w:t>,</w:t>
            </w:r>
            <w:r w:rsidR="00931C68">
              <w:t xml:space="preserve"> ensuring high quality teaching and learning across all key stages.</w:t>
            </w:r>
          </w:p>
          <w:p w:rsidR="00931C68" w:rsidRDefault="00931C68" w:rsidP="00AF7115"/>
          <w:p w:rsidR="00931C68" w:rsidRPr="000E2D9A" w:rsidRDefault="00931C68" w:rsidP="006B36BE">
            <w:r>
              <w:t xml:space="preserve">The provision encompasses teaching and learning for those who cannot currently attend a mainstream setting for social, emotional and mental health reasons and are hard to place, vulnerable, at risk of exclusion or permanently excluded. These groups form part of the commissioned responsibilities and services from the Local Authority that are identified under Section 19 1996 Education Act.  </w:t>
            </w:r>
          </w:p>
        </w:tc>
      </w:tr>
      <w:tr w:rsidR="00931C68" w:rsidTr="0009147B">
        <w:trPr>
          <w:cantSplit/>
          <w:jc w:val="center"/>
        </w:trPr>
        <w:tc>
          <w:tcPr>
            <w:tcW w:w="9057" w:type="dxa"/>
            <w:gridSpan w:val="2"/>
            <w:shd w:val="clear" w:color="auto" w:fill="F3F3F3"/>
          </w:tcPr>
          <w:p w:rsidR="00931C68" w:rsidRDefault="00931C68">
            <w:r>
              <w:rPr>
                <w:rFonts w:cs="Arial"/>
                <w:b/>
                <w:bCs/>
                <w:szCs w:val="22"/>
              </w:rPr>
              <w:t>Main Responsibilities and Duties:</w:t>
            </w:r>
          </w:p>
        </w:tc>
      </w:tr>
      <w:tr w:rsidR="00931C68" w:rsidTr="0009147B">
        <w:trPr>
          <w:cantSplit/>
          <w:jc w:val="center"/>
        </w:trPr>
        <w:tc>
          <w:tcPr>
            <w:tcW w:w="9057" w:type="dxa"/>
            <w:gridSpan w:val="2"/>
          </w:tcPr>
          <w:p w:rsidR="00931C68" w:rsidRPr="000E2D9A" w:rsidRDefault="00931C68" w:rsidP="0026158A">
            <w:pPr>
              <w:rPr>
                <w:rFonts w:cs="Arial"/>
              </w:rPr>
            </w:pPr>
            <w:r>
              <w:t xml:space="preserve">To have a clear vision for the service; to motivate people and empower others to work together creatively. </w:t>
            </w:r>
          </w:p>
        </w:tc>
      </w:tr>
      <w:tr w:rsidR="00931C68" w:rsidTr="0009147B">
        <w:trPr>
          <w:cantSplit/>
          <w:jc w:val="center"/>
        </w:trPr>
        <w:tc>
          <w:tcPr>
            <w:tcW w:w="9057" w:type="dxa"/>
            <w:gridSpan w:val="2"/>
          </w:tcPr>
          <w:p w:rsidR="00931C68" w:rsidRPr="000E2D9A" w:rsidRDefault="00931C68" w:rsidP="006B36BE">
            <w:pPr>
              <w:rPr>
                <w:rFonts w:cs="Arial"/>
              </w:rPr>
            </w:pPr>
            <w:r w:rsidRPr="000E2D9A">
              <w:t xml:space="preserve">To facilitate the Panel for Excluded and Vulnerable Pupils ensuring area arrangements promote social cohesion and support the </w:t>
            </w:r>
            <w:r>
              <w:t xml:space="preserve">effective use of </w:t>
            </w:r>
            <w:r w:rsidRPr="000E2D9A">
              <w:t>services</w:t>
            </w:r>
            <w:r>
              <w:t>, provision and resources</w:t>
            </w:r>
            <w:r w:rsidRPr="000E2D9A">
              <w:t>.</w:t>
            </w:r>
          </w:p>
        </w:tc>
      </w:tr>
      <w:tr w:rsidR="00931C68" w:rsidTr="0009147B">
        <w:trPr>
          <w:cantSplit/>
          <w:jc w:val="center"/>
        </w:trPr>
        <w:tc>
          <w:tcPr>
            <w:tcW w:w="9057" w:type="dxa"/>
            <w:gridSpan w:val="2"/>
          </w:tcPr>
          <w:p w:rsidR="00931C68" w:rsidRPr="000E2D9A" w:rsidRDefault="00931C68" w:rsidP="006B36BE">
            <w:r w:rsidRPr="000E2D9A">
              <w:t xml:space="preserve">To lead and manage the operational delivery of an effective alternative provision service in </w:t>
            </w:r>
            <w:r>
              <w:t>Taunton Deane Partnership College area</w:t>
            </w:r>
            <w:r w:rsidR="0026158A">
              <w:t>,</w:t>
            </w:r>
            <w:r w:rsidRPr="000E2D9A">
              <w:t xml:space="preserve"> delivering commissioned services as detailed in the Service Level Agreement </w:t>
            </w:r>
            <w:r w:rsidR="0026158A">
              <w:t xml:space="preserve">and </w:t>
            </w:r>
            <w:r w:rsidRPr="000E2D9A">
              <w:t>in partnership with mainstream settings.</w:t>
            </w:r>
          </w:p>
        </w:tc>
      </w:tr>
      <w:tr w:rsidR="00931C68" w:rsidTr="0009147B">
        <w:trPr>
          <w:cantSplit/>
          <w:jc w:val="center"/>
        </w:trPr>
        <w:tc>
          <w:tcPr>
            <w:tcW w:w="9057" w:type="dxa"/>
            <w:gridSpan w:val="2"/>
          </w:tcPr>
          <w:p w:rsidR="00931C68" w:rsidRPr="000E2D9A" w:rsidRDefault="00931C68" w:rsidP="006B36BE">
            <w:pPr>
              <w:rPr>
                <w:rFonts w:cs="Arial"/>
              </w:rPr>
            </w:pPr>
            <w:r w:rsidRPr="000E2D9A">
              <w:t xml:space="preserve">To continue to develop the </w:t>
            </w:r>
            <w:r>
              <w:t>Taunton Deane Partnership College</w:t>
            </w:r>
            <w:r w:rsidRPr="000E2D9A">
              <w:t xml:space="preserve"> strategy for access to high quality and equitable provision for its </w:t>
            </w:r>
            <w:r>
              <w:t>vulnerable children and young people</w:t>
            </w:r>
            <w:r w:rsidRPr="000E2D9A">
              <w:t xml:space="preserve"> </w:t>
            </w:r>
            <w:r>
              <w:t xml:space="preserve">in partnership with schools and in line </w:t>
            </w:r>
            <w:r w:rsidRPr="000E2D9A">
              <w:t>with the L</w:t>
            </w:r>
            <w:r>
              <w:t xml:space="preserve">ocal Authority </w:t>
            </w:r>
            <w:r w:rsidRPr="000E2D9A">
              <w:t xml:space="preserve">vision. </w:t>
            </w:r>
          </w:p>
        </w:tc>
      </w:tr>
      <w:tr w:rsidR="00931C68" w:rsidTr="000E2D9A">
        <w:trPr>
          <w:jc w:val="center"/>
        </w:trPr>
        <w:tc>
          <w:tcPr>
            <w:tcW w:w="9057" w:type="dxa"/>
            <w:gridSpan w:val="2"/>
          </w:tcPr>
          <w:p w:rsidR="00931C68" w:rsidRPr="000E2D9A" w:rsidRDefault="00931C68" w:rsidP="00C950EA">
            <w:pPr>
              <w:rPr>
                <w:rFonts w:cs="Arial"/>
              </w:rPr>
            </w:pPr>
            <w:r w:rsidRPr="000E2D9A">
              <w:t>To strategically manage the service to develop expertise and co</w:t>
            </w:r>
            <w:r>
              <w:t>-</w:t>
            </w:r>
            <w:r w:rsidRPr="000E2D9A">
              <w:t>operation across</w:t>
            </w:r>
            <w:r>
              <w:t xml:space="preserve"> the</w:t>
            </w:r>
            <w:r w:rsidRPr="000E2D9A">
              <w:t xml:space="preserve"> </w:t>
            </w:r>
            <w:smartTag w:uri="urn:schemas-microsoft-com:office:smarttags" w:element="place">
              <w:smartTag w:uri="urn:schemas-microsoft-com:office:smarttags" w:element="PlaceName">
                <w:r>
                  <w:t>Taunton</w:t>
                </w:r>
              </w:smartTag>
              <w:r>
                <w:t xml:space="preserve"> </w:t>
              </w:r>
              <w:smartTag w:uri="urn:schemas-microsoft-com:office:smarttags" w:element="PlaceName">
                <w:r>
                  <w:t>Deane</w:t>
                </w:r>
              </w:smartTag>
              <w:r>
                <w:t xml:space="preserve"> </w:t>
              </w:r>
              <w:smartTag w:uri="urn:schemas-microsoft-com:office:smarttags" w:element="PlaceName">
                <w:r>
                  <w:t>Partnership</w:t>
                </w:r>
              </w:smartTag>
              <w:r>
                <w:t xml:space="preserve"> </w:t>
              </w:r>
              <w:smartTag w:uri="urn:schemas-microsoft-com:office:smarttags" w:element="PlaceType">
                <w:r>
                  <w:t>College</w:t>
                </w:r>
              </w:smartTag>
            </w:smartTag>
            <w:r>
              <w:t xml:space="preserve"> area</w:t>
            </w:r>
            <w:r w:rsidRPr="000E2D9A">
              <w:t>, ensuring a cohesive approach to education provision and early interventions</w:t>
            </w:r>
            <w:r>
              <w:t>.</w:t>
            </w:r>
            <w:r w:rsidRPr="000E2D9A">
              <w:t xml:space="preserve"> </w:t>
            </w:r>
          </w:p>
        </w:tc>
      </w:tr>
      <w:tr w:rsidR="00931C68" w:rsidTr="000E2D9A">
        <w:trPr>
          <w:jc w:val="center"/>
        </w:trPr>
        <w:tc>
          <w:tcPr>
            <w:tcW w:w="9057" w:type="dxa"/>
            <w:gridSpan w:val="2"/>
          </w:tcPr>
          <w:p w:rsidR="00931C68" w:rsidRDefault="00931C68">
            <w:pPr>
              <w:pStyle w:val="Heading3"/>
              <w:rPr>
                <w:color w:val="auto"/>
              </w:rPr>
            </w:pPr>
            <w:r>
              <w:rPr>
                <w:color w:val="auto"/>
              </w:rPr>
              <w:lastRenderedPageBreak/>
              <w:t>Strategic</w:t>
            </w:r>
          </w:p>
          <w:p w:rsidR="00931C68" w:rsidRDefault="00931C68" w:rsidP="006455E9">
            <w:pPr>
              <w:numPr>
                <w:ilvl w:val="1"/>
                <w:numId w:val="10"/>
              </w:numPr>
              <w:tabs>
                <w:tab w:val="clear" w:pos="360"/>
                <w:tab w:val="num" w:pos="686"/>
              </w:tabs>
              <w:ind w:left="686" w:hanging="686"/>
            </w:pPr>
            <w:r>
              <w:t>To work with the Management Committee, local school Headteachers and the Local Authority to develop, articulate and implement the vision and strategic direction of the service which meets the needs of the children and young people in the area.</w:t>
            </w:r>
          </w:p>
          <w:p w:rsidR="00931C68" w:rsidRDefault="00931C68" w:rsidP="006455E9">
            <w:pPr>
              <w:numPr>
                <w:ilvl w:val="1"/>
                <w:numId w:val="10"/>
              </w:numPr>
              <w:ind w:left="720" w:hanging="720"/>
            </w:pPr>
            <w:r>
              <w:tab/>
              <w:t xml:space="preserve">To ensure the leadership within the service (and commissioned services) deliver a full time offer of a broad and balanced curriculum with relevant learning experiences in line with national and local policy to achieve the best outcomes for children and young people.  </w:t>
            </w:r>
          </w:p>
          <w:p w:rsidR="00931C68" w:rsidRPr="00AA5EDB" w:rsidRDefault="00931C68" w:rsidP="00AA5EDB">
            <w:pPr>
              <w:numPr>
                <w:ilvl w:val="1"/>
                <w:numId w:val="10"/>
              </w:numPr>
              <w:ind w:left="720" w:hanging="720"/>
            </w:pPr>
            <w:r>
              <w:tab/>
              <w:t>To monitor and evaluate the outcomes, policies, procedures and targets across the service to strategically inform improvement planning and measure their impact.</w:t>
            </w:r>
          </w:p>
        </w:tc>
      </w:tr>
      <w:tr w:rsidR="00931C68" w:rsidTr="0009147B">
        <w:trPr>
          <w:cantSplit/>
          <w:jc w:val="center"/>
        </w:trPr>
        <w:tc>
          <w:tcPr>
            <w:tcW w:w="9057" w:type="dxa"/>
            <w:gridSpan w:val="2"/>
          </w:tcPr>
          <w:p w:rsidR="00931C68" w:rsidRDefault="00931C68">
            <w:pPr>
              <w:pStyle w:val="Heading2"/>
            </w:pPr>
            <w:r>
              <w:t>Curriculum/</w:t>
            </w:r>
            <w:r>
              <w:rPr>
                <w:rFonts w:cs="Times New Roman"/>
                <w:szCs w:val="24"/>
              </w:rPr>
              <w:t>Leading Learning and Teaching/Managing staff</w:t>
            </w:r>
            <w:r>
              <w:t xml:space="preserve"> </w:t>
            </w:r>
          </w:p>
          <w:p w:rsidR="00931C68" w:rsidRDefault="00931C68" w:rsidP="006455E9">
            <w:pPr>
              <w:numPr>
                <w:ilvl w:val="1"/>
                <w:numId w:val="11"/>
              </w:numPr>
              <w:ind w:left="720" w:hanging="720"/>
            </w:pPr>
            <w:r>
              <w:tab/>
              <w:t>To directly line manage the Heads of Centre</w:t>
            </w:r>
            <w:r w:rsidRPr="00F16A2D">
              <w:rPr>
                <w:color w:val="FF0000"/>
              </w:rPr>
              <w:t xml:space="preserve"> </w:t>
            </w:r>
            <w:r>
              <w:t xml:space="preserve">and other designated staff as appropriate within the PRU and service, delegating responsibilities appropriately to leaders within the provision. </w:t>
            </w:r>
          </w:p>
          <w:p w:rsidR="00931C68" w:rsidRDefault="00931C68" w:rsidP="006455E9">
            <w:pPr>
              <w:numPr>
                <w:ilvl w:val="1"/>
                <w:numId w:val="11"/>
              </w:numPr>
              <w:ind w:left="720" w:hanging="694"/>
            </w:pPr>
            <w:r>
              <w:tab/>
              <w:t>To ensure that all teaching and learning opportunities within the service meet the highest standards and promote appropriate and relevant outcomes for each individual.</w:t>
            </w:r>
          </w:p>
          <w:p w:rsidR="00931C68" w:rsidRDefault="00931C68" w:rsidP="000E2D9A">
            <w:pPr>
              <w:numPr>
                <w:ilvl w:val="1"/>
                <w:numId w:val="11"/>
              </w:numPr>
              <w:ind w:left="720" w:hanging="694"/>
            </w:pPr>
            <w:r>
              <w:tab/>
              <w:t>To ensure the monitoring of the quality of teaching, learning and pupils achievements, including analysis of the performance data, lesson observations and other self-evaluation processes for continuing improvement.</w:t>
            </w:r>
          </w:p>
          <w:p w:rsidR="00931C68" w:rsidRPr="00067F78" w:rsidRDefault="00931C68" w:rsidP="006B36BE">
            <w:pPr>
              <w:numPr>
                <w:ilvl w:val="1"/>
                <w:numId w:val="11"/>
              </w:numPr>
              <w:ind w:left="720" w:hanging="694"/>
            </w:pPr>
            <w:r>
              <w:tab/>
              <w:t>Ensure appropriate and clear procedures for appraisal are in place, including continuing professional development of all staff.</w:t>
            </w:r>
          </w:p>
        </w:tc>
      </w:tr>
      <w:tr w:rsidR="00931C68" w:rsidTr="0009147B">
        <w:trPr>
          <w:cantSplit/>
          <w:jc w:val="center"/>
        </w:trPr>
        <w:tc>
          <w:tcPr>
            <w:tcW w:w="9057" w:type="dxa"/>
            <w:gridSpan w:val="2"/>
          </w:tcPr>
          <w:p w:rsidR="00931C68" w:rsidRDefault="00931C68">
            <w:pPr>
              <w:pStyle w:val="Heading2"/>
              <w:rPr>
                <w:rFonts w:cs="Times New Roman"/>
                <w:szCs w:val="24"/>
              </w:rPr>
            </w:pPr>
            <w:r>
              <w:rPr>
                <w:rFonts w:cs="Times New Roman"/>
                <w:szCs w:val="24"/>
              </w:rPr>
              <w:t>Management of the Provision</w:t>
            </w:r>
          </w:p>
          <w:p w:rsidR="00931C68" w:rsidRDefault="00931C68" w:rsidP="006455E9">
            <w:pPr>
              <w:numPr>
                <w:ilvl w:val="1"/>
                <w:numId w:val="16"/>
              </w:numPr>
              <w:ind w:left="720" w:hanging="720"/>
            </w:pPr>
            <w:r>
              <w:tab/>
              <w:t xml:space="preserve">To ensure that staff teams work together across the area to </w:t>
            </w:r>
            <w:r w:rsidR="0026158A">
              <w:t xml:space="preserve">achieve </w:t>
            </w:r>
            <w:r>
              <w:t xml:space="preserve">a consistent approach, process and response to identify and meet the needs of learners to ensure the best achievement and outcomes. </w:t>
            </w:r>
          </w:p>
          <w:p w:rsidR="00931C68" w:rsidRDefault="00931C68" w:rsidP="006455E9">
            <w:pPr>
              <w:numPr>
                <w:ilvl w:val="1"/>
                <w:numId w:val="16"/>
              </w:numPr>
              <w:ind w:left="720" w:hanging="720"/>
            </w:pPr>
            <w:r>
              <w:tab/>
              <w:t>To ensure all statutory and other appropriate policies are in place and applied consistently.</w:t>
            </w:r>
          </w:p>
          <w:p w:rsidR="00931C68" w:rsidRDefault="00931C68" w:rsidP="006455E9">
            <w:pPr>
              <w:numPr>
                <w:ilvl w:val="1"/>
                <w:numId w:val="17"/>
              </w:numPr>
              <w:ind w:left="720" w:hanging="720"/>
            </w:pPr>
            <w:r>
              <w:tab/>
              <w:t>To ensure that the statutory responsibilities are met</w:t>
            </w:r>
            <w:r w:rsidR="0026158A">
              <w:t xml:space="preserve"> for all pupils</w:t>
            </w:r>
            <w:r>
              <w:t xml:space="preserve">, including </w:t>
            </w:r>
            <w:r w:rsidR="0026158A">
              <w:t xml:space="preserve">those </w:t>
            </w:r>
            <w:r>
              <w:t xml:space="preserve">permanently excluded and those with a Statement of Educational Needs/Education Health Care Plans. </w:t>
            </w:r>
          </w:p>
          <w:p w:rsidR="00931C68" w:rsidRDefault="00931C68">
            <w:pPr>
              <w:numPr>
                <w:ilvl w:val="1"/>
                <w:numId w:val="17"/>
              </w:numPr>
            </w:pPr>
            <w:r>
              <w:tab/>
              <w:t xml:space="preserve">To ensure that the staffing structure is able to deliver the service(s) required. </w:t>
            </w:r>
          </w:p>
          <w:p w:rsidR="00931C68" w:rsidRDefault="00931C68" w:rsidP="006455E9">
            <w:pPr>
              <w:numPr>
                <w:ilvl w:val="1"/>
                <w:numId w:val="17"/>
              </w:numPr>
              <w:ind w:left="720" w:hanging="720"/>
            </w:pPr>
            <w:r>
              <w:tab/>
              <w:t xml:space="preserve">To ensure the senior management team contributes to school improvement and applies effective quality assurance processes to secure sustained improvement. </w:t>
            </w:r>
          </w:p>
          <w:p w:rsidR="00931C68" w:rsidRPr="000E2D9A" w:rsidRDefault="00931C68" w:rsidP="000E2D9A">
            <w:pPr>
              <w:numPr>
                <w:ilvl w:val="1"/>
                <w:numId w:val="17"/>
              </w:numPr>
              <w:ind w:left="720" w:hanging="720"/>
              <w:rPr>
                <w:rFonts w:cs="Arial"/>
              </w:rPr>
            </w:pPr>
            <w:r>
              <w:tab/>
              <w:t xml:space="preserve">To promote and champion polices that reduce the gap in attainment and achievement for vulnerable groups. </w:t>
            </w:r>
          </w:p>
        </w:tc>
      </w:tr>
      <w:tr w:rsidR="00931C68" w:rsidTr="0009147B">
        <w:trPr>
          <w:cantSplit/>
          <w:jc w:val="center"/>
        </w:trPr>
        <w:tc>
          <w:tcPr>
            <w:tcW w:w="9057" w:type="dxa"/>
            <w:gridSpan w:val="2"/>
          </w:tcPr>
          <w:p w:rsidR="00931C68" w:rsidRDefault="00931C68">
            <w:pPr>
              <w:rPr>
                <w:b/>
                <w:bCs/>
              </w:rPr>
            </w:pPr>
            <w:r>
              <w:rPr>
                <w:b/>
                <w:bCs/>
              </w:rPr>
              <w:t>Efficient and effective deployment of resources</w:t>
            </w:r>
          </w:p>
          <w:p w:rsidR="00931C68" w:rsidRDefault="00931C68" w:rsidP="007D1EFF">
            <w:pPr>
              <w:ind w:left="720" w:hanging="720"/>
            </w:pPr>
            <w:r>
              <w:t xml:space="preserve">4.1 </w:t>
            </w:r>
            <w:r>
              <w:tab/>
              <w:t>To ensure effective and equitable systems for accessing and delivering services.</w:t>
            </w:r>
          </w:p>
          <w:p w:rsidR="00931C68" w:rsidRDefault="00931C68" w:rsidP="006455E9">
            <w:pPr>
              <w:ind w:left="720" w:hanging="720"/>
            </w:pPr>
            <w:r>
              <w:t xml:space="preserve">4.2 </w:t>
            </w:r>
            <w:r>
              <w:tab/>
              <w:t xml:space="preserve">To make efficient and innovative use of resources which are responsive and tailored to each individual within the </w:t>
            </w:r>
            <w:smartTag w:uri="urn:schemas-microsoft-com:office:smarttags" w:element="place">
              <w:smartTag w:uri="urn:schemas-microsoft-com:office:smarttags" w:element="PlaceName">
                <w:r>
                  <w:t>Taunton</w:t>
                </w:r>
              </w:smartTag>
              <w:r>
                <w:t xml:space="preserve"> </w:t>
              </w:r>
              <w:smartTag w:uri="urn:schemas-microsoft-com:office:smarttags" w:element="PlaceName">
                <w:r>
                  <w:t>Deane</w:t>
                </w:r>
              </w:smartTag>
              <w:r>
                <w:t xml:space="preserve"> </w:t>
              </w:r>
              <w:smartTag w:uri="urn:schemas-microsoft-com:office:smarttags" w:element="PlaceName">
                <w:r>
                  <w:t>Partnership</w:t>
                </w:r>
              </w:smartTag>
              <w:r>
                <w:t xml:space="preserve"> </w:t>
              </w:r>
              <w:smartTag w:uri="urn:schemas-microsoft-com:office:smarttags" w:element="PlaceType">
                <w:r>
                  <w:t>College</w:t>
                </w:r>
              </w:smartTag>
            </w:smartTag>
            <w:r>
              <w:t>.</w:t>
            </w:r>
          </w:p>
          <w:p w:rsidR="00931C68" w:rsidRDefault="00931C68" w:rsidP="006455E9">
            <w:pPr>
              <w:ind w:left="720" w:hanging="720"/>
            </w:pPr>
            <w:r>
              <w:t xml:space="preserve">4.3 </w:t>
            </w:r>
            <w:r>
              <w:tab/>
              <w:t xml:space="preserve">To collaborate, advise and challenge mainstream schools, other services and providers in building their capacity to meet the needs of pupils with social, emotional and mental health needs and other barriers to learning. </w:t>
            </w:r>
          </w:p>
          <w:p w:rsidR="00931C68" w:rsidRDefault="00931C68" w:rsidP="006455E9">
            <w:pPr>
              <w:ind w:left="720" w:hanging="720"/>
            </w:pPr>
            <w:r>
              <w:t xml:space="preserve">4.4 </w:t>
            </w:r>
            <w:r>
              <w:tab/>
              <w:t xml:space="preserve">To have a strategic overview of the progression pathways for pupils appropriate to their needs including transition stages and the readiness for college/work/or other. </w:t>
            </w:r>
          </w:p>
          <w:p w:rsidR="00931C68" w:rsidRPr="003837AD" w:rsidRDefault="00931C68" w:rsidP="003837AD">
            <w:pPr>
              <w:ind w:left="720" w:hanging="720"/>
            </w:pPr>
            <w:r>
              <w:t xml:space="preserve">4.5 </w:t>
            </w:r>
            <w:r>
              <w:tab/>
              <w:t xml:space="preserve">To ensure the budget is aligned with strategic priorities and planning.     </w:t>
            </w:r>
          </w:p>
        </w:tc>
      </w:tr>
      <w:tr w:rsidR="00931C68" w:rsidTr="0009147B">
        <w:trPr>
          <w:cantSplit/>
          <w:jc w:val="center"/>
        </w:trPr>
        <w:tc>
          <w:tcPr>
            <w:tcW w:w="9057" w:type="dxa"/>
            <w:gridSpan w:val="2"/>
          </w:tcPr>
          <w:p w:rsidR="00931C68" w:rsidRPr="006455E9" w:rsidRDefault="00931C68">
            <w:pPr>
              <w:rPr>
                <w:b/>
                <w:bCs/>
              </w:rPr>
            </w:pPr>
            <w:r w:rsidRPr="006455E9">
              <w:rPr>
                <w:b/>
                <w:bCs/>
                <w:szCs w:val="22"/>
              </w:rPr>
              <w:t>Securing Accountability</w:t>
            </w:r>
          </w:p>
          <w:p w:rsidR="00931C68" w:rsidRPr="006455E9" w:rsidRDefault="00931C68" w:rsidP="006455E9">
            <w:pPr>
              <w:ind w:left="720" w:hanging="720"/>
            </w:pPr>
            <w:r w:rsidRPr="006455E9">
              <w:rPr>
                <w:szCs w:val="22"/>
              </w:rPr>
              <w:t xml:space="preserve">5.1 </w:t>
            </w:r>
            <w:r w:rsidRPr="006455E9">
              <w:rPr>
                <w:szCs w:val="22"/>
              </w:rPr>
              <w:tab/>
              <w:t>To provide a coherent and accurate</w:t>
            </w:r>
            <w:r>
              <w:rPr>
                <w:szCs w:val="22"/>
              </w:rPr>
              <w:t xml:space="preserve"> account of the service for the Management Committee, Local A</w:t>
            </w:r>
            <w:r w:rsidRPr="006455E9">
              <w:rPr>
                <w:szCs w:val="22"/>
              </w:rPr>
              <w:t>ut</w:t>
            </w:r>
            <w:r>
              <w:rPr>
                <w:szCs w:val="22"/>
              </w:rPr>
              <w:t>hority</w:t>
            </w:r>
            <w:r w:rsidRPr="006455E9">
              <w:rPr>
                <w:szCs w:val="22"/>
              </w:rPr>
              <w:t>, local stakeholders, Ofsted and others, to enable them to</w:t>
            </w:r>
            <w:r w:rsidR="0026158A">
              <w:rPr>
                <w:szCs w:val="22"/>
              </w:rPr>
              <w:t xml:space="preserve"> monitor implementation and to evaluate the impact of the service</w:t>
            </w:r>
            <w:r w:rsidRPr="006455E9">
              <w:rPr>
                <w:szCs w:val="22"/>
              </w:rPr>
              <w:t>.</w:t>
            </w:r>
          </w:p>
          <w:p w:rsidR="00931C68" w:rsidRPr="006455E9" w:rsidRDefault="00931C68" w:rsidP="006455E9">
            <w:pPr>
              <w:ind w:left="720" w:hanging="720"/>
            </w:pPr>
            <w:r w:rsidRPr="006455E9">
              <w:rPr>
                <w:szCs w:val="22"/>
              </w:rPr>
              <w:t xml:space="preserve">5.2 </w:t>
            </w:r>
            <w:r w:rsidRPr="006455E9">
              <w:rPr>
                <w:szCs w:val="22"/>
              </w:rPr>
              <w:tab/>
              <w:t>To monitor, evaluate and evidence value for money, demonstrating that the provision is effectively using resources and partnership arrangements to best meet the needs of the pupil population.</w:t>
            </w:r>
          </w:p>
          <w:p w:rsidR="00931C68" w:rsidRPr="006455E9" w:rsidRDefault="00931C68" w:rsidP="006455E9">
            <w:pPr>
              <w:pStyle w:val="Default"/>
              <w:ind w:left="720" w:hanging="720"/>
              <w:rPr>
                <w:sz w:val="22"/>
                <w:szCs w:val="22"/>
              </w:rPr>
            </w:pPr>
            <w:r w:rsidRPr="006455E9">
              <w:rPr>
                <w:sz w:val="22"/>
                <w:szCs w:val="22"/>
              </w:rPr>
              <w:t xml:space="preserve">5.3 </w:t>
            </w:r>
            <w:r w:rsidRPr="006455E9">
              <w:rPr>
                <w:sz w:val="22"/>
                <w:szCs w:val="22"/>
              </w:rPr>
              <w:tab/>
              <w:t>To be</w:t>
            </w:r>
            <w:r>
              <w:rPr>
                <w:sz w:val="22"/>
                <w:szCs w:val="22"/>
              </w:rPr>
              <w:t xml:space="preserve"> accountable and responsible to all key stakeholders including children and young people, parents and/or carers.</w:t>
            </w:r>
          </w:p>
          <w:p w:rsidR="00931C68" w:rsidRPr="000E2D9A" w:rsidRDefault="00931C68" w:rsidP="000E2D9A">
            <w:pPr>
              <w:pStyle w:val="Default"/>
              <w:ind w:left="720" w:hanging="720"/>
              <w:rPr>
                <w:color w:val="auto"/>
                <w:szCs w:val="22"/>
              </w:rPr>
            </w:pPr>
            <w:r w:rsidRPr="006455E9">
              <w:rPr>
                <w:sz w:val="22"/>
                <w:szCs w:val="22"/>
              </w:rPr>
              <w:t xml:space="preserve">5.4 </w:t>
            </w:r>
            <w:r w:rsidRPr="006455E9">
              <w:rPr>
                <w:sz w:val="22"/>
                <w:szCs w:val="22"/>
              </w:rPr>
              <w:tab/>
            </w:r>
            <w:r w:rsidRPr="000E2D9A">
              <w:rPr>
                <w:sz w:val="22"/>
                <w:szCs w:val="22"/>
              </w:rPr>
              <w:t>Ensure resolution of all complaints is achieved at the earliest opportunity and at the appropriate level.</w:t>
            </w:r>
          </w:p>
        </w:tc>
      </w:tr>
      <w:tr w:rsidR="00931C68" w:rsidTr="000E2D9A">
        <w:trPr>
          <w:cantSplit/>
          <w:jc w:val="center"/>
        </w:trPr>
        <w:tc>
          <w:tcPr>
            <w:tcW w:w="9057" w:type="dxa"/>
            <w:gridSpan w:val="2"/>
          </w:tcPr>
          <w:p w:rsidR="00931C68" w:rsidRPr="000E2D9A" w:rsidRDefault="00931C68">
            <w:pPr>
              <w:rPr>
                <w:rFonts w:cs="Arial"/>
              </w:rPr>
            </w:pPr>
            <w:r w:rsidRPr="006455E9">
              <w:rPr>
                <w:b/>
                <w:bCs/>
                <w:szCs w:val="22"/>
              </w:rPr>
              <w:lastRenderedPageBreak/>
              <w:t>Strengthening Community</w:t>
            </w:r>
          </w:p>
          <w:p w:rsidR="00931C68" w:rsidRPr="006455E9" w:rsidRDefault="00931C68" w:rsidP="006455E9">
            <w:pPr>
              <w:pStyle w:val="Default"/>
              <w:ind w:left="720" w:hanging="720"/>
              <w:rPr>
                <w:sz w:val="22"/>
                <w:szCs w:val="22"/>
              </w:rPr>
            </w:pPr>
            <w:r w:rsidRPr="006455E9">
              <w:rPr>
                <w:sz w:val="22"/>
                <w:szCs w:val="22"/>
              </w:rPr>
              <w:t xml:space="preserve">6.1 </w:t>
            </w:r>
            <w:r w:rsidRPr="006455E9">
              <w:rPr>
                <w:sz w:val="22"/>
                <w:szCs w:val="22"/>
              </w:rPr>
              <w:tab/>
              <w:t xml:space="preserve">To develop and monitor collaborative partnerships that are effective in improving </w:t>
            </w:r>
            <w:r>
              <w:rPr>
                <w:sz w:val="22"/>
                <w:szCs w:val="22"/>
              </w:rPr>
              <w:t>learner</w:t>
            </w:r>
            <w:r w:rsidRPr="006455E9">
              <w:rPr>
                <w:sz w:val="22"/>
                <w:szCs w:val="22"/>
              </w:rPr>
              <w:t xml:space="preserve"> outcomes and </w:t>
            </w:r>
            <w:r>
              <w:rPr>
                <w:sz w:val="22"/>
                <w:szCs w:val="22"/>
              </w:rPr>
              <w:t xml:space="preserve">in providing </w:t>
            </w:r>
            <w:r w:rsidRPr="006455E9">
              <w:rPr>
                <w:sz w:val="22"/>
                <w:szCs w:val="22"/>
              </w:rPr>
              <w:t xml:space="preserve">coherent </w:t>
            </w:r>
            <w:r>
              <w:rPr>
                <w:sz w:val="22"/>
                <w:szCs w:val="22"/>
              </w:rPr>
              <w:t xml:space="preserve">and responsive </w:t>
            </w:r>
            <w:r w:rsidRPr="006455E9">
              <w:rPr>
                <w:sz w:val="22"/>
                <w:szCs w:val="22"/>
              </w:rPr>
              <w:t>pr</w:t>
            </w:r>
            <w:r>
              <w:rPr>
                <w:sz w:val="22"/>
                <w:szCs w:val="22"/>
              </w:rPr>
              <w:t>ogrammes of support, meeting</w:t>
            </w:r>
            <w:r w:rsidRPr="006455E9">
              <w:rPr>
                <w:sz w:val="22"/>
                <w:szCs w:val="22"/>
              </w:rPr>
              <w:t xml:space="preserve"> individual pupil needs. </w:t>
            </w:r>
          </w:p>
          <w:p w:rsidR="00931C68" w:rsidRPr="006455E9" w:rsidRDefault="00931C68" w:rsidP="006455E9">
            <w:pPr>
              <w:pStyle w:val="Default"/>
              <w:ind w:left="720" w:hanging="720"/>
              <w:rPr>
                <w:sz w:val="22"/>
                <w:szCs w:val="22"/>
              </w:rPr>
            </w:pPr>
            <w:r w:rsidRPr="006455E9">
              <w:rPr>
                <w:sz w:val="22"/>
                <w:szCs w:val="22"/>
              </w:rPr>
              <w:t xml:space="preserve">6.2 </w:t>
            </w:r>
            <w:r w:rsidRPr="006455E9">
              <w:rPr>
                <w:sz w:val="22"/>
                <w:szCs w:val="22"/>
              </w:rPr>
              <w:tab/>
              <w:t>To develop and commission</w:t>
            </w:r>
            <w:r>
              <w:rPr>
                <w:sz w:val="22"/>
                <w:szCs w:val="22"/>
              </w:rPr>
              <w:t>,</w:t>
            </w:r>
            <w:r w:rsidRPr="006455E9">
              <w:rPr>
                <w:sz w:val="22"/>
                <w:szCs w:val="22"/>
              </w:rPr>
              <w:t xml:space="preserve"> where appropriate</w:t>
            </w:r>
            <w:r>
              <w:rPr>
                <w:sz w:val="22"/>
                <w:szCs w:val="22"/>
              </w:rPr>
              <w:t>,</w:t>
            </w:r>
            <w:r w:rsidRPr="006455E9">
              <w:rPr>
                <w:sz w:val="22"/>
                <w:szCs w:val="22"/>
              </w:rPr>
              <w:t xml:space="preserve"> a r</w:t>
            </w:r>
            <w:r>
              <w:rPr>
                <w:sz w:val="22"/>
                <w:szCs w:val="22"/>
              </w:rPr>
              <w:t xml:space="preserve">ange of services, with the scope to </w:t>
            </w:r>
            <w:r w:rsidR="0026158A">
              <w:rPr>
                <w:sz w:val="22"/>
                <w:szCs w:val="22"/>
              </w:rPr>
              <w:t xml:space="preserve">deliver a traded service </w:t>
            </w:r>
            <w:r w:rsidRPr="006455E9">
              <w:rPr>
                <w:sz w:val="22"/>
                <w:szCs w:val="22"/>
              </w:rPr>
              <w:t xml:space="preserve">in response to the identification of local need. </w:t>
            </w:r>
          </w:p>
          <w:p w:rsidR="00931C68" w:rsidRPr="006455E9" w:rsidRDefault="00931C68" w:rsidP="006455E9">
            <w:pPr>
              <w:pStyle w:val="Default"/>
              <w:ind w:left="720" w:hanging="720"/>
              <w:rPr>
                <w:sz w:val="22"/>
                <w:szCs w:val="22"/>
              </w:rPr>
            </w:pPr>
            <w:r w:rsidRPr="006455E9">
              <w:rPr>
                <w:sz w:val="22"/>
                <w:szCs w:val="22"/>
              </w:rPr>
              <w:t xml:space="preserve">6.3 </w:t>
            </w:r>
            <w:r w:rsidRPr="006455E9">
              <w:rPr>
                <w:sz w:val="22"/>
                <w:szCs w:val="22"/>
              </w:rPr>
              <w:tab/>
              <w:t>To ensure that the senior management team establishes effective partnership arrangements with parents and carers, local mainstream schools and academies and the wider community</w:t>
            </w:r>
            <w:r>
              <w:rPr>
                <w:sz w:val="22"/>
                <w:szCs w:val="22"/>
              </w:rPr>
              <w:t xml:space="preserve"> providing support, advice and challenge as appropriate</w:t>
            </w:r>
            <w:r w:rsidRPr="006455E9">
              <w:rPr>
                <w:sz w:val="22"/>
                <w:szCs w:val="22"/>
              </w:rPr>
              <w:t xml:space="preserve">. </w:t>
            </w:r>
          </w:p>
          <w:p w:rsidR="00931C68" w:rsidRPr="000E2D9A" w:rsidRDefault="00931C68" w:rsidP="000E2D9A">
            <w:pPr>
              <w:pStyle w:val="Default"/>
              <w:ind w:left="720" w:hanging="720"/>
              <w:rPr>
                <w:color w:val="auto"/>
                <w:szCs w:val="22"/>
              </w:rPr>
            </w:pPr>
            <w:r w:rsidRPr="006455E9">
              <w:rPr>
                <w:sz w:val="22"/>
                <w:szCs w:val="22"/>
              </w:rPr>
              <w:t xml:space="preserve">6.4 </w:t>
            </w:r>
            <w:r w:rsidRPr="006455E9">
              <w:rPr>
                <w:sz w:val="22"/>
                <w:szCs w:val="22"/>
              </w:rPr>
              <w:tab/>
              <w:t xml:space="preserve">To represent the service in relevant forums and panels in relation to the systems for the admission of pupils to the service and progression to appropriate education, training and employment </w:t>
            </w:r>
          </w:p>
        </w:tc>
      </w:tr>
    </w:tbl>
    <w:p w:rsidR="00931C68" w:rsidRDefault="00931C68"/>
    <w:p w:rsidR="00931C68" w:rsidRDefault="00931C68" w:rsidP="00A7155B">
      <w:pPr>
        <w:rPr>
          <w:rFonts w:cs="Arial"/>
        </w:rPr>
      </w:pPr>
    </w:p>
    <w:sectPr w:rsidR="00931C68" w:rsidSect="00C14A3F">
      <w:pgSz w:w="11905" w:h="16837"/>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0BFC"/>
    <w:multiLevelType w:val="hybridMultilevel"/>
    <w:tmpl w:val="C42C5096"/>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354AC8"/>
    <w:multiLevelType w:val="multilevel"/>
    <w:tmpl w:val="2A80D2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AC13AA4"/>
    <w:multiLevelType w:val="hybridMultilevel"/>
    <w:tmpl w:val="D9F2B99E"/>
    <w:lvl w:ilvl="0" w:tplc="0809000F">
      <w:start w:val="1"/>
      <w:numFmt w:val="decimal"/>
      <w:lvlText w:val="%1."/>
      <w:lvlJc w:val="left"/>
      <w:pPr>
        <w:ind w:left="746" w:hanging="360"/>
      </w:pPr>
      <w:rPr>
        <w:rFonts w:cs="Times New Roman"/>
      </w:rPr>
    </w:lvl>
    <w:lvl w:ilvl="1" w:tplc="08090019" w:tentative="1">
      <w:start w:val="1"/>
      <w:numFmt w:val="lowerLetter"/>
      <w:lvlText w:val="%2."/>
      <w:lvlJc w:val="left"/>
      <w:pPr>
        <w:ind w:left="1466" w:hanging="360"/>
      </w:pPr>
      <w:rPr>
        <w:rFonts w:cs="Times New Roman"/>
      </w:rPr>
    </w:lvl>
    <w:lvl w:ilvl="2" w:tplc="0809001B" w:tentative="1">
      <w:start w:val="1"/>
      <w:numFmt w:val="lowerRoman"/>
      <w:lvlText w:val="%3."/>
      <w:lvlJc w:val="right"/>
      <w:pPr>
        <w:ind w:left="2186" w:hanging="180"/>
      </w:pPr>
      <w:rPr>
        <w:rFonts w:cs="Times New Roman"/>
      </w:rPr>
    </w:lvl>
    <w:lvl w:ilvl="3" w:tplc="0809000F" w:tentative="1">
      <w:start w:val="1"/>
      <w:numFmt w:val="decimal"/>
      <w:lvlText w:val="%4."/>
      <w:lvlJc w:val="left"/>
      <w:pPr>
        <w:ind w:left="2906" w:hanging="360"/>
      </w:pPr>
      <w:rPr>
        <w:rFonts w:cs="Times New Roman"/>
      </w:rPr>
    </w:lvl>
    <w:lvl w:ilvl="4" w:tplc="08090019" w:tentative="1">
      <w:start w:val="1"/>
      <w:numFmt w:val="lowerLetter"/>
      <w:lvlText w:val="%5."/>
      <w:lvlJc w:val="left"/>
      <w:pPr>
        <w:ind w:left="3626" w:hanging="360"/>
      </w:pPr>
      <w:rPr>
        <w:rFonts w:cs="Times New Roman"/>
      </w:rPr>
    </w:lvl>
    <w:lvl w:ilvl="5" w:tplc="0809001B" w:tentative="1">
      <w:start w:val="1"/>
      <w:numFmt w:val="lowerRoman"/>
      <w:lvlText w:val="%6."/>
      <w:lvlJc w:val="right"/>
      <w:pPr>
        <w:ind w:left="4346" w:hanging="180"/>
      </w:pPr>
      <w:rPr>
        <w:rFonts w:cs="Times New Roman"/>
      </w:rPr>
    </w:lvl>
    <w:lvl w:ilvl="6" w:tplc="0809000F" w:tentative="1">
      <w:start w:val="1"/>
      <w:numFmt w:val="decimal"/>
      <w:lvlText w:val="%7."/>
      <w:lvlJc w:val="left"/>
      <w:pPr>
        <w:ind w:left="5066" w:hanging="360"/>
      </w:pPr>
      <w:rPr>
        <w:rFonts w:cs="Times New Roman"/>
      </w:rPr>
    </w:lvl>
    <w:lvl w:ilvl="7" w:tplc="08090019" w:tentative="1">
      <w:start w:val="1"/>
      <w:numFmt w:val="lowerLetter"/>
      <w:lvlText w:val="%8."/>
      <w:lvlJc w:val="left"/>
      <w:pPr>
        <w:ind w:left="5786" w:hanging="360"/>
      </w:pPr>
      <w:rPr>
        <w:rFonts w:cs="Times New Roman"/>
      </w:rPr>
    </w:lvl>
    <w:lvl w:ilvl="8" w:tplc="0809001B" w:tentative="1">
      <w:start w:val="1"/>
      <w:numFmt w:val="lowerRoman"/>
      <w:lvlText w:val="%9."/>
      <w:lvlJc w:val="right"/>
      <w:pPr>
        <w:ind w:left="6506" w:hanging="180"/>
      </w:pPr>
      <w:rPr>
        <w:rFonts w:cs="Times New Roman"/>
      </w:rPr>
    </w:lvl>
  </w:abstractNum>
  <w:abstractNum w:abstractNumId="3">
    <w:nsid w:val="201D2AB5"/>
    <w:multiLevelType w:val="hybridMultilevel"/>
    <w:tmpl w:val="2E68A8EA"/>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23156F"/>
    <w:multiLevelType w:val="hybridMultilevel"/>
    <w:tmpl w:val="FA02A1B8"/>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9768E9"/>
    <w:multiLevelType w:val="multilevel"/>
    <w:tmpl w:val="E2F67A6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0974E7"/>
    <w:multiLevelType w:val="hybridMultilevel"/>
    <w:tmpl w:val="4C1C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881792"/>
    <w:multiLevelType w:val="multilevel"/>
    <w:tmpl w:val="64E8913E"/>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F9A3624"/>
    <w:multiLevelType w:val="hybridMultilevel"/>
    <w:tmpl w:val="7AE06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1A462B"/>
    <w:multiLevelType w:val="hybridMultilevel"/>
    <w:tmpl w:val="3D52F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D365D9"/>
    <w:multiLevelType w:val="multilevel"/>
    <w:tmpl w:val="F6C47016"/>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9D70C3D"/>
    <w:multiLevelType w:val="multilevel"/>
    <w:tmpl w:val="0C14C178"/>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CF7716B"/>
    <w:multiLevelType w:val="hybridMultilevel"/>
    <w:tmpl w:val="DCD8E814"/>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045B18"/>
    <w:multiLevelType w:val="hybridMultilevel"/>
    <w:tmpl w:val="EFBA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161421"/>
    <w:multiLevelType w:val="hybridMultilevel"/>
    <w:tmpl w:val="E6866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1B20AD"/>
    <w:multiLevelType w:val="hybridMultilevel"/>
    <w:tmpl w:val="A456F47C"/>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5214E8"/>
    <w:multiLevelType w:val="hybridMultilevel"/>
    <w:tmpl w:val="5972B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2D56A1"/>
    <w:multiLevelType w:val="hybridMultilevel"/>
    <w:tmpl w:val="5D4A42E4"/>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1A1558"/>
    <w:multiLevelType w:val="hybridMultilevel"/>
    <w:tmpl w:val="B3FC51AE"/>
    <w:lvl w:ilvl="0" w:tplc="C3CE4D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F1B0A23"/>
    <w:multiLevelType w:val="hybridMultilevel"/>
    <w:tmpl w:val="2B00E4A0"/>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5"/>
  </w:num>
  <w:num w:numId="4">
    <w:abstractNumId w:val="17"/>
  </w:num>
  <w:num w:numId="5">
    <w:abstractNumId w:val="12"/>
  </w:num>
  <w:num w:numId="6">
    <w:abstractNumId w:val="0"/>
  </w:num>
  <w:num w:numId="7">
    <w:abstractNumId w:val="19"/>
  </w:num>
  <w:num w:numId="8">
    <w:abstractNumId w:val="18"/>
  </w:num>
  <w:num w:numId="9">
    <w:abstractNumId w:val="6"/>
  </w:num>
  <w:num w:numId="10">
    <w:abstractNumId w:val="1"/>
  </w:num>
  <w:num w:numId="11">
    <w:abstractNumId w:val="10"/>
  </w:num>
  <w:num w:numId="12">
    <w:abstractNumId w:val="9"/>
  </w:num>
  <w:num w:numId="13">
    <w:abstractNumId w:val="16"/>
  </w:num>
  <w:num w:numId="14">
    <w:abstractNumId w:val="14"/>
  </w:num>
  <w:num w:numId="15">
    <w:abstractNumId w:val="8"/>
  </w:num>
  <w:num w:numId="16">
    <w:abstractNumId w:val="5"/>
  </w:num>
  <w:num w:numId="17">
    <w:abstractNumId w:val="11"/>
  </w:num>
  <w:num w:numId="18">
    <w:abstractNumId w:val="7"/>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A6F"/>
    <w:rsid w:val="00067F78"/>
    <w:rsid w:val="00076197"/>
    <w:rsid w:val="0009147B"/>
    <w:rsid w:val="00092AA7"/>
    <w:rsid w:val="000E2D9A"/>
    <w:rsid w:val="00100E1F"/>
    <w:rsid w:val="001F022D"/>
    <w:rsid w:val="0026158A"/>
    <w:rsid w:val="002E32DC"/>
    <w:rsid w:val="003837AD"/>
    <w:rsid w:val="00397C24"/>
    <w:rsid w:val="00427841"/>
    <w:rsid w:val="00437A5C"/>
    <w:rsid w:val="004B4007"/>
    <w:rsid w:val="00532D9D"/>
    <w:rsid w:val="005C2E02"/>
    <w:rsid w:val="00605BF3"/>
    <w:rsid w:val="006455E9"/>
    <w:rsid w:val="00690A9E"/>
    <w:rsid w:val="006B36BE"/>
    <w:rsid w:val="006B69D4"/>
    <w:rsid w:val="007D1EFF"/>
    <w:rsid w:val="008A1A6F"/>
    <w:rsid w:val="00931C68"/>
    <w:rsid w:val="0097483A"/>
    <w:rsid w:val="009A67D3"/>
    <w:rsid w:val="00A06299"/>
    <w:rsid w:val="00A7155B"/>
    <w:rsid w:val="00A91E54"/>
    <w:rsid w:val="00AA5EDB"/>
    <w:rsid w:val="00AF7115"/>
    <w:rsid w:val="00B01430"/>
    <w:rsid w:val="00B32843"/>
    <w:rsid w:val="00C14A3F"/>
    <w:rsid w:val="00C950EA"/>
    <w:rsid w:val="00D96722"/>
    <w:rsid w:val="00DE4D16"/>
    <w:rsid w:val="00E1561A"/>
    <w:rsid w:val="00E32972"/>
    <w:rsid w:val="00E50485"/>
    <w:rsid w:val="00ED20EA"/>
    <w:rsid w:val="00F105DF"/>
    <w:rsid w:val="00F10903"/>
    <w:rsid w:val="00F16A2D"/>
    <w:rsid w:val="00F42A88"/>
    <w:rsid w:val="00F476D7"/>
    <w:rsid w:val="00F6707B"/>
    <w:rsid w:val="00F861AB"/>
    <w:rsid w:val="00FB03B4"/>
    <w:rsid w:val="00FE6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3F"/>
    <w:rPr>
      <w:rFonts w:ascii="Arial" w:hAnsi="Arial"/>
      <w:szCs w:val="24"/>
      <w:lang w:eastAsia="en-US"/>
    </w:rPr>
  </w:style>
  <w:style w:type="paragraph" w:styleId="Heading1">
    <w:name w:val="heading 1"/>
    <w:basedOn w:val="Normal"/>
    <w:next w:val="Normal"/>
    <w:link w:val="Heading1Char"/>
    <w:uiPriority w:val="99"/>
    <w:qFormat/>
    <w:rsid w:val="00C14A3F"/>
    <w:pPr>
      <w:keepNext/>
      <w:jc w:val="center"/>
      <w:outlineLvl w:val="0"/>
    </w:pPr>
    <w:rPr>
      <w:rFonts w:cs="Arial"/>
      <w:b/>
      <w:bCs/>
      <w:sz w:val="28"/>
      <w:szCs w:val="22"/>
    </w:rPr>
  </w:style>
  <w:style w:type="paragraph" w:styleId="Heading2">
    <w:name w:val="heading 2"/>
    <w:basedOn w:val="Normal"/>
    <w:next w:val="Normal"/>
    <w:link w:val="Heading2Char"/>
    <w:uiPriority w:val="99"/>
    <w:qFormat/>
    <w:rsid w:val="00C14A3F"/>
    <w:pPr>
      <w:keepNext/>
      <w:outlineLvl w:val="1"/>
    </w:pPr>
    <w:rPr>
      <w:rFonts w:cs="Arial"/>
      <w:b/>
      <w:bCs/>
      <w:szCs w:val="22"/>
    </w:rPr>
  </w:style>
  <w:style w:type="paragraph" w:styleId="Heading3">
    <w:name w:val="heading 3"/>
    <w:basedOn w:val="Normal"/>
    <w:next w:val="Normal"/>
    <w:link w:val="Heading3Char"/>
    <w:uiPriority w:val="99"/>
    <w:qFormat/>
    <w:rsid w:val="00C14A3F"/>
    <w:pPr>
      <w:keepNext/>
      <w:outlineLvl w:val="2"/>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EA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54EA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54EAD"/>
    <w:rPr>
      <w:rFonts w:asciiTheme="majorHAnsi" w:eastAsiaTheme="majorEastAsia" w:hAnsiTheme="majorHAnsi" w:cstheme="majorBidi"/>
      <w:b/>
      <w:bCs/>
      <w:sz w:val="26"/>
      <w:szCs w:val="26"/>
      <w:lang w:eastAsia="en-US"/>
    </w:rPr>
  </w:style>
  <w:style w:type="paragraph" w:styleId="BodyTextIndent">
    <w:name w:val="Body Text Indent"/>
    <w:basedOn w:val="Normal"/>
    <w:link w:val="BodyTextIndentChar"/>
    <w:uiPriority w:val="99"/>
    <w:rsid w:val="00C14A3F"/>
    <w:pPr>
      <w:ind w:left="356"/>
    </w:pPr>
  </w:style>
  <w:style w:type="character" w:customStyle="1" w:styleId="BodyTextIndentChar">
    <w:name w:val="Body Text Indent Char"/>
    <w:basedOn w:val="DefaultParagraphFont"/>
    <w:link w:val="BodyTextIndent"/>
    <w:uiPriority w:val="99"/>
    <w:semiHidden/>
    <w:rsid w:val="00754EAD"/>
    <w:rPr>
      <w:rFonts w:ascii="Arial" w:hAnsi="Arial"/>
      <w:szCs w:val="24"/>
      <w:lang w:eastAsia="en-US"/>
    </w:rPr>
  </w:style>
  <w:style w:type="paragraph" w:styleId="BodyTextIndent2">
    <w:name w:val="Body Text Indent 2"/>
    <w:basedOn w:val="Normal"/>
    <w:link w:val="BodyTextIndent2Char"/>
    <w:uiPriority w:val="99"/>
    <w:rsid w:val="00C14A3F"/>
    <w:pPr>
      <w:ind w:left="466" w:hanging="440"/>
    </w:pPr>
  </w:style>
  <w:style w:type="character" w:customStyle="1" w:styleId="BodyTextIndent2Char">
    <w:name w:val="Body Text Indent 2 Char"/>
    <w:basedOn w:val="DefaultParagraphFont"/>
    <w:link w:val="BodyTextIndent2"/>
    <w:uiPriority w:val="99"/>
    <w:semiHidden/>
    <w:rsid w:val="00754EAD"/>
    <w:rPr>
      <w:rFonts w:ascii="Arial" w:hAnsi="Arial"/>
      <w:szCs w:val="24"/>
      <w:lang w:eastAsia="en-US"/>
    </w:rPr>
  </w:style>
  <w:style w:type="paragraph" w:styleId="BodyText">
    <w:name w:val="Body Text"/>
    <w:basedOn w:val="Normal"/>
    <w:link w:val="BodyTextChar"/>
    <w:uiPriority w:val="99"/>
    <w:rsid w:val="00C14A3F"/>
    <w:rPr>
      <w:color w:val="FF0000"/>
    </w:rPr>
  </w:style>
  <w:style w:type="character" w:customStyle="1" w:styleId="BodyTextChar">
    <w:name w:val="Body Text Char"/>
    <w:basedOn w:val="DefaultParagraphFont"/>
    <w:link w:val="BodyText"/>
    <w:uiPriority w:val="99"/>
    <w:semiHidden/>
    <w:rsid w:val="00754EAD"/>
    <w:rPr>
      <w:rFonts w:ascii="Arial" w:hAnsi="Arial"/>
      <w:szCs w:val="24"/>
      <w:lang w:eastAsia="en-US"/>
    </w:rPr>
  </w:style>
  <w:style w:type="paragraph" w:customStyle="1" w:styleId="Default">
    <w:name w:val="Default"/>
    <w:uiPriority w:val="99"/>
    <w:rsid w:val="00C14A3F"/>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rsid w:val="00AF7115"/>
    <w:rPr>
      <w:rFonts w:ascii="Tahoma" w:hAnsi="Tahoma"/>
      <w:sz w:val="16"/>
      <w:szCs w:val="16"/>
    </w:rPr>
  </w:style>
  <w:style w:type="character" w:customStyle="1" w:styleId="BalloonTextChar">
    <w:name w:val="Balloon Text Char"/>
    <w:basedOn w:val="DefaultParagraphFont"/>
    <w:link w:val="BalloonText"/>
    <w:uiPriority w:val="99"/>
    <w:locked/>
    <w:rsid w:val="00AF7115"/>
    <w:rPr>
      <w:rFonts w:ascii="Tahoma" w:hAnsi="Tahoma"/>
      <w:sz w:val="16"/>
      <w:lang w:eastAsia="en-US"/>
    </w:rPr>
  </w:style>
  <w:style w:type="paragraph" w:styleId="ListParagraph">
    <w:name w:val="List Paragraph"/>
    <w:basedOn w:val="Normal"/>
    <w:uiPriority w:val="99"/>
    <w:qFormat/>
    <w:rsid w:val="009A67D3"/>
    <w:pPr>
      <w:ind w:left="720"/>
      <w:contextualSpacing/>
    </w:pPr>
  </w:style>
  <w:style w:type="table" w:styleId="TableGrid">
    <w:name w:val="Table Grid"/>
    <w:basedOn w:val="TableNormal"/>
    <w:uiPriority w:val="99"/>
    <w:rsid w:val="00532D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E32DC"/>
    <w:rPr>
      <w:rFonts w:cs="Times New Roman"/>
      <w:sz w:val="16"/>
      <w:szCs w:val="16"/>
    </w:rPr>
  </w:style>
  <w:style w:type="paragraph" w:styleId="CommentText">
    <w:name w:val="annotation text"/>
    <w:basedOn w:val="Normal"/>
    <w:link w:val="CommentTextChar"/>
    <w:uiPriority w:val="99"/>
    <w:semiHidden/>
    <w:rsid w:val="002E32DC"/>
    <w:rPr>
      <w:sz w:val="20"/>
      <w:szCs w:val="20"/>
    </w:rPr>
  </w:style>
  <w:style w:type="character" w:customStyle="1" w:styleId="CommentTextChar">
    <w:name w:val="Comment Text Char"/>
    <w:basedOn w:val="DefaultParagraphFont"/>
    <w:link w:val="CommentText"/>
    <w:uiPriority w:val="99"/>
    <w:semiHidden/>
    <w:rsid w:val="00754EAD"/>
    <w:rPr>
      <w:rFonts w:ascii="Arial" w:hAnsi="Arial"/>
      <w:sz w:val="20"/>
      <w:szCs w:val="20"/>
      <w:lang w:eastAsia="en-US"/>
    </w:rPr>
  </w:style>
  <w:style w:type="paragraph" w:styleId="CommentSubject">
    <w:name w:val="annotation subject"/>
    <w:basedOn w:val="CommentText"/>
    <w:next w:val="CommentText"/>
    <w:link w:val="CommentSubjectChar"/>
    <w:uiPriority w:val="99"/>
    <w:semiHidden/>
    <w:rsid w:val="002E32DC"/>
    <w:rPr>
      <w:b/>
      <w:bCs/>
    </w:rPr>
  </w:style>
  <w:style w:type="character" w:customStyle="1" w:styleId="CommentSubjectChar">
    <w:name w:val="Comment Subject Char"/>
    <w:basedOn w:val="CommentTextChar"/>
    <w:link w:val="CommentSubject"/>
    <w:uiPriority w:val="99"/>
    <w:semiHidden/>
    <w:rsid w:val="00754EAD"/>
    <w:rPr>
      <w:rFonts w:ascii="Arial" w:hAnsi="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3F"/>
    <w:rPr>
      <w:rFonts w:ascii="Arial" w:hAnsi="Arial"/>
      <w:szCs w:val="24"/>
      <w:lang w:eastAsia="en-US"/>
    </w:rPr>
  </w:style>
  <w:style w:type="paragraph" w:styleId="Heading1">
    <w:name w:val="heading 1"/>
    <w:basedOn w:val="Normal"/>
    <w:next w:val="Normal"/>
    <w:link w:val="Heading1Char"/>
    <w:uiPriority w:val="99"/>
    <w:qFormat/>
    <w:rsid w:val="00C14A3F"/>
    <w:pPr>
      <w:keepNext/>
      <w:jc w:val="center"/>
      <w:outlineLvl w:val="0"/>
    </w:pPr>
    <w:rPr>
      <w:rFonts w:cs="Arial"/>
      <w:b/>
      <w:bCs/>
      <w:sz w:val="28"/>
      <w:szCs w:val="22"/>
    </w:rPr>
  </w:style>
  <w:style w:type="paragraph" w:styleId="Heading2">
    <w:name w:val="heading 2"/>
    <w:basedOn w:val="Normal"/>
    <w:next w:val="Normal"/>
    <w:link w:val="Heading2Char"/>
    <w:uiPriority w:val="99"/>
    <w:qFormat/>
    <w:rsid w:val="00C14A3F"/>
    <w:pPr>
      <w:keepNext/>
      <w:outlineLvl w:val="1"/>
    </w:pPr>
    <w:rPr>
      <w:rFonts w:cs="Arial"/>
      <w:b/>
      <w:bCs/>
      <w:szCs w:val="22"/>
    </w:rPr>
  </w:style>
  <w:style w:type="paragraph" w:styleId="Heading3">
    <w:name w:val="heading 3"/>
    <w:basedOn w:val="Normal"/>
    <w:next w:val="Normal"/>
    <w:link w:val="Heading3Char"/>
    <w:uiPriority w:val="99"/>
    <w:qFormat/>
    <w:rsid w:val="00C14A3F"/>
    <w:pPr>
      <w:keepNext/>
      <w:outlineLvl w:val="2"/>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EA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54EA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54EAD"/>
    <w:rPr>
      <w:rFonts w:asciiTheme="majorHAnsi" w:eastAsiaTheme="majorEastAsia" w:hAnsiTheme="majorHAnsi" w:cstheme="majorBidi"/>
      <w:b/>
      <w:bCs/>
      <w:sz w:val="26"/>
      <w:szCs w:val="26"/>
      <w:lang w:eastAsia="en-US"/>
    </w:rPr>
  </w:style>
  <w:style w:type="paragraph" w:styleId="BodyTextIndent">
    <w:name w:val="Body Text Indent"/>
    <w:basedOn w:val="Normal"/>
    <w:link w:val="BodyTextIndentChar"/>
    <w:uiPriority w:val="99"/>
    <w:rsid w:val="00C14A3F"/>
    <w:pPr>
      <w:ind w:left="356"/>
    </w:pPr>
  </w:style>
  <w:style w:type="character" w:customStyle="1" w:styleId="BodyTextIndentChar">
    <w:name w:val="Body Text Indent Char"/>
    <w:basedOn w:val="DefaultParagraphFont"/>
    <w:link w:val="BodyTextIndent"/>
    <w:uiPriority w:val="99"/>
    <w:semiHidden/>
    <w:rsid w:val="00754EAD"/>
    <w:rPr>
      <w:rFonts w:ascii="Arial" w:hAnsi="Arial"/>
      <w:szCs w:val="24"/>
      <w:lang w:eastAsia="en-US"/>
    </w:rPr>
  </w:style>
  <w:style w:type="paragraph" w:styleId="BodyTextIndent2">
    <w:name w:val="Body Text Indent 2"/>
    <w:basedOn w:val="Normal"/>
    <w:link w:val="BodyTextIndent2Char"/>
    <w:uiPriority w:val="99"/>
    <w:rsid w:val="00C14A3F"/>
    <w:pPr>
      <w:ind w:left="466" w:hanging="440"/>
    </w:pPr>
  </w:style>
  <w:style w:type="character" w:customStyle="1" w:styleId="BodyTextIndent2Char">
    <w:name w:val="Body Text Indent 2 Char"/>
    <w:basedOn w:val="DefaultParagraphFont"/>
    <w:link w:val="BodyTextIndent2"/>
    <w:uiPriority w:val="99"/>
    <w:semiHidden/>
    <w:rsid w:val="00754EAD"/>
    <w:rPr>
      <w:rFonts w:ascii="Arial" w:hAnsi="Arial"/>
      <w:szCs w:val="24"/>
      <w:lang w:eastAsia="en-US"/>
    </w:rPr>
  </w:style>
  <w:style w:type="paragraph" w:styleId="BodyText">
    <w:name w:val="Body Text"/>
    <w:basedOn w:val="Normal"/>
    <w:link w:val="BodyTextChar"/>
    <w:uiPriority w:val="99"/>
    <w:rsid w:val="00C14A3F"/>
    <w:rPr>
      <w:color w:val="FF0000"/>
    </w:rPr>
  </w:style>
  <w:style w:type="character" w:customStyle="1" w:styleId="BodyTextChar">
    <w:name w:val="Body Text Char"/>
    <w:basedOn w:val="DefaultParagraphFont"/>
    <w:link w:val="BodyText"/>
    <w:uiPriority w:val="99"/>
    <w:semiHidden/>
    <w:rsid w:val="00754EAD"/>
    <w:rPr>
      <w:rFonts w:ascii="Arial" w:hAnsi="Arial"/>
      <w:szCs w:val="24"/>
      <w:lang w:eastAsia="en-US"/>
    </w:rPr>
  </w:style>
  <w:style w:type="paragraph" w:customStyle="1" w:styleId="Default">
    <w:name w:val="Default"/>
    <w:uiPriority w:val="99"/>
    <w:rsid w:val="00C14A3F"/>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rsid w:val="00AF7115"/>
    <w:rPr>
      <w:rFonts w:ascii="Tahoma" w:hAnsi="Tahoma"/>
      <w:sz w:val="16"/>
      <w:szCs w:val="16"/>
    </w:rPr>
  </w:style>
  <w:style w:type="character" w:customStyle="1" w:styleId="BalloonTextChar">
    <w:name w:val="Balloon Text Char"/>
    <w:basedOn w:val="DefaultParagraphFont"/>
    <w:link w:val="BalloonText"/>
    <w:uiPriority w:val="99"/>
    <w:locked/>
    <w:rsid w:val="00AF7115"/>
    <w:rPr>
      <w:rFonts w:ascii="Tahoma" w:hAnsi="Tahoma"/>
      <w:sz w:val="16"/>
      <w:lang w:eastAsia="en-US"/>
    </w:rPr>
  </w:style>
  <w:style w:type="paragraph" w:styleId="ListParagraph">
    <w:name w:val="List Paragraph"/>
    <w:basedOn w:val="Normal"/>
    <w:uiPriority w:val="99"/>
    <w:qFormat/>
    <w:rsid w:val="009A67D3"/>
    <w:pPr>
      <w:ind w:left="720"/>
      <w:contextualSpacing/>
    </w:pPr>
  </w:style>
  <w:style w:type="table" w:styleId="TableGrid">
    <w:name w:val="Table Grid"/>
    <w:basedOn w:val="TableNormal"/>
    <w:uiPriority w:val="99"/>
    <w:rsid w:val="00532D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E32DC"/>
    <w:rPr>
      <w:rFonts w:cs="Times New Roman"/>
      <w:sz w:val="16"/>
      <w:szCs w:val="16"/>
    </w:rPr>
  </w:style>
  <w:style w:type="paragraph" w:styleId="CommentText">
    <w:name w:val="annotation text"/>
    <w:basedOn w:val="Normal"/>
    <w:link w:val="CommentTextChar"/>
    <w:uiPriority w:val="99"/>
    <w:semiHidden/>
    <w:rsid w:val="002E32DC"/>
    <w:rPr>
      <w:sz w:val="20"/>
      <w:szCs w:val="20"/>
    </w:rPr>
  </w:style>
  <w:style w:type="character" w:customStyle="1" w:styleId="CommentTextChar">
    <w:name w:val="Comment Text Char"/>
    <w:basedOn w:val="DefaultParagraphFont"/>
    <w:link w:val="CommentText"/>
    <w:uiPriority w:val="99"/>
    <w:semiHidden/>
    <w:rsid w:val="00754EAD"/>
    <w:rPr>
      <w:rFonts w:ascii="Arial" w:hAnsi="Arial"/>
      <w:sz w:val="20"/>
      <w:szCs w:val="20"/>
      <w:lang w:eastAsia="en-US"/>
    </w:rPr>
  </w:style>
  <w:style w:type="paragraph" w:styleId="CommentSubject">
    <w:name w:val="annotation subject"/>
    <w:basedOn w:val="CommentText"/>
    <w:next w:val="CommentText"/>
    <w:link w:val="CommentSubjectChar"/>
    <w:uiPriority w:val="99"/>
    <w:semiHidden/>
    <w:rsid w:val="002E32DC"/>
    <w:rPr>
      <w:b/>
      <w:bCs/>
    </w:rPr>
  </w:style>
  <w:style w:type="character" w:customStyle="1" w:styleId="CommentSubjectChar">
    <w:name w:val="Comment Subject Char"/>
    <w:basedOn w:val="CommentTextChar"/>
    <w:link w:val="CommentSubject"/>
    <w:uiPriority w:val="99"/>
    <w:semiHidden/>
    <w:rsid w:val="00754EAD"/>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1008</Words>
  <Characters>5866</Characters>
  <Application>Microsoft Office Word</Application>
  <DocSecurity>0</DocSecurity>
  <Lines>109</Lines>
  <Paragraphs>47</Paragraphs>
  <ScaleCrop>false</ScaleCrop>
  <HeadingPairs>
    <vt:vector size="2" baseType="variant">
      <vt:variant>
        <vt:lpstr>Title</vt:lpstr>
      </vt:variant>
      <vt:variant>
        <vt:i4>1</vt:i4>
      </vt:variant>
    </vt:vector>
  </HeadingPairs>
  <TitlesOfParts>
    <vt:vector size="1" baseType="lpstr">
      <vt:lpstr>Job Number:</vt:lpstr>
    </vt:vector>
  </TitlesOfParts>
  <Company>Somerset County Council</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Number:</dc:title>
  <dc:creator>LMayers</dc:creator>
  <cp:lastModifiedBy>Somerset County Council</cp:lastModifiedBy>
  <cp:revision>8</cp:revision>
  <cp:lastPrinted>2012-09-20T09:33:00Z</cp:lastPrinted>
  <dcterms:created xsi:type="dcterms:W3CDTF">2014-12-17T11:05:00Z</dcterms:created>
  <dcterms:modified xsi:type="dcterms:W3CDTF">2015-01-14T14:51:00Z</dcterms:modified>
</cp:coreProperties>
</file>