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0626" w14:textId="16D7BA39" w:rsidR="00B711D8" w:rsidRPr="002F48E0" w:rsidRDefault="00797184" w:rsidP="00E84A6E">
      <w:pPr>
        <w:spacing w:after="0" w:line="240" w:lineRule="auto"/>
        <w:rPr>
          <w:rFonts w:ascii="Open Sans" w:hAnsi="Open Sans" w:cs="Open Sans"/>
        </w:rPr>
      </w:pPr>
      <w:r>
        <w:rPr>
          <w:rFonts w:ascii="Open Sans" w:hAnsi="Open Sans" w:cs="Open Sans"/>
          <w:noProof/>
          <w:lang w:eastAsia="en-GB"/>
        </w:rPr>
        <w:drawing>
          <wp:anchor distT="0" distB="0" distL="114300" distR="114300" simplePos="0" relativeHeight="251658240" behindDoc="0" locked="0" layoutInCell="1" allowOverlap="1" wp14:anchorId="29186A40" wp14:editId="0D43E30A">
            <wp:simplePos x="0" y="0"/>
            <wp:positionH relativeFrom="column">
              <wp:posOffset>5286375</wp:posOffset>
            </wp:positionH>
            <wp:positionV relativeFrom="paragraph">
              <wp:posOffset>-628650</wp:posOffset>
            </wp:positionV>
            <wp:extent cx="1070610" cy="828675"/>
            <wp:effectExtent l="0" t="0" r="0" b="9525"/>
            <wp:wrapThrough wrapText="bothSides">
              <wp:wrapPolygon edited="0">
                <wp:start x="0" y="0"/>
                <wp:lineTo x="0" y="21352"/>
                <wp:lineTo x="21139" y="21352"/>
                <wp:lineTo x="211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 JQ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0610" cy="828675"/>
                    </a:xfrm>
                    <a:prstGeom prst="rect">
                      <a:avLst/>
                    </a:prstGeom>
                  </pic:spPr>
                </pic:pic>
              </a:graphicData>
            </a:graphic>
            <wp14:sizeRelH relativeFrom="page">
              <wp14:pctWidth>0</wp14:pctWidth>
            </wp14:sizeRelH>
            <wp14:sizeRelV relativeFrom="page">
              <wp14:pctHeight>0</wp14:pctHeight>
            </wp14:sizeRelV>
          </wp:anchor>
        </w:drawing>
      </w:r>
    </w:p>
    <w:p w14:paraId="7C18B010" w14:textId="77777777" w:rsidR="008303DA" w:rsidRPr="001A2474" w:rsidRDefault="008303DA" w:rsidP="00B711D8">
      <w:pPr>
        <w:spacing w:after="0" w:line="240" w:lineRule="auto"/>
        <w:rPr>
          <w:rFonts w:ascii="Tahoma" w:hAnsi="Tahoma" w:cs="Tahoma"/>
          <w:b/>
          <w:sz w:val="24"/>
          <w:szCs w:val="24"/>
        </w:rPr>
      </w:pPr>
    </w:p>
    <w:p w14:paraId="35BF72D9" w14:textId="09CA7D0D" w:rsidR="00485017" w:rsidRPr="001A2474" w:rsidRDefault="00485017" w:rsidP="00B711D8">
      <w:pPr>
        <w:spacing w:after="0" w:line="240" w:lineRule="auto"/>
        <w:rPr>
          <w:rFonts w:ascii="Tahoma" w:hAnsi="Tahoma" w:cs="Tahoma"/>
          <w:b/>
          <w:sz w:val="24"/>
          <w:szCs w:val="24"/>
        </w:rPr>
      </w:pPr>
      <w:r w:rsidRPr="001A2474">
        <w:rPr>
          <w:rFonts w:ascii="Tahoma" w:hAnsi="Tahoma" w:cs="Tahoma"/>
          <w:b/>
          <w:sz w:val="24"/>
          <w:szCs w:val="24"/>
        </w:rPr>
        <w:t>CORE Education Trust is committed to safeguarding and promoting the welfare of children and young people and requires all staff and volunteers to share this commitment.</w:t>
      </w:r>
    </w:p>
    <w:p w14:paraId="5A273DA9" w14:textId="77777777" w:rsidR="008303DA" w:rsidRPr="001A2474" w:rsidRDefault="008303DA" w:rsidP="00B711D8">
      <w:pPr>
        <w:spacing w:after="0" w:line="240" w:lineRule="auto"/>
        <w:rPr>
          <w:rFonts w:ascii="Tahoma" w:hAnsi="Tahoma" w:cs="Tahoma"/>
          <w:b/>
          <w:sz w:val="24"/>
          <w:szCs w:val="24"/>
        </w:rPr>
      </w:pPr>
    </w:p>
    <w:p w14:paraId="2E75734F" w14:textId="77777777" w:rsidR="008303DA" w:rsidRPr="001A2474" w:rsidRDefault="008303DA" w:rsidP="00B711D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4661"/>
        <w:gridCol w:w="4581"/>
      </w:tblGrid>
      <w:tr w:rsidR="00485017" w:rsidRPr="001A2474" w14:paraId="7674A260" w14:textId="77777777" w:rsidTr="000B77FB">
        <w:trPr>
          <w:trHeight w:val="400"/>
        </w:trPr>
        <w:tc>
          <w:tcPr>
            <w:tcW w:w="4998" w:type="dxa"/>
          </w:tcPr>
          <w:p w14:paraId="5FD88F98" w14:textId="77777777" w:rsidR="00797184" w:rsidRDefault="00485017" w:rsidP="00282028">
            <w:pPr>
              <w:rPr>
                <w:rFonts w:ascii="Tahoma" w:hAnsi="Tahoma" w:cs="Tahoma"/>
                <w:b/>
                <w:sz w:val="24"/>
                <w:szCs w:val="24"/>
              </w:rPr>
            </w:pPr>
            <w:r w:rsidRPr="001A2474">
              <w:rPr>
                <w:rFonts w:ascii="Tahoma" w:hAnsi="Tahoma" w:cs="Tahoma"/>
                <w:b/>
                <w:sz w:val="24"/>
                <w:szCs w:val="24"/>
              </w:rPr>
              <w:t xml:space="preserve">Job Title:  </w:t>
            </w:r>
          </w:p>
          <w:p w14:paraId="23AAAFDC" w14:textId="0F6CE6A2" w:rsidR="00485017" w:rsidRDefault="001A2474" w:rsidP="00282028">
            <w:pPr>
              <w:rPr>
                <w:rFonts w:ascii="Tahoma" w:hAnsi="Tahoma" w:cs="Tahoma"/>
                <w:b/>
                <w:sz w:val="24"/>
                <w:szCs w:val="24"/>
              </w:rPr>
            </w:pPr>
            <w:r w:rsidRPr="001A2474">
              <w:rPr>
                <w:rFonts w:ascii="Tahoma" w:hAnsi="Tahoma" w:cs="Tahoma"/>
                <w:b/>
                <w:sz w:val="24"/>
                <w:szCs w:val="24"/>
              </w:rPr>
              <w:t>Exams Officer</w:t>
            </w:r>
            <w:r w:rsidR="00797184">
              <w:rPr>
                <w:rFonts w:ascii="Tahoma" w:hAnsi="Tahoma" w:cs="Tahoma"/>
                <w:b/>
                <w:sz w:val="24"/>
                <w:szCs w:val="24"/>
              </w:rPr>
              <w:t>.  Careers Leader and Community Liaison.</w:t>
            </w:r>
          </w:p>
          <w:p w14:paraId="0CA5CDD8" w14:textId="6FE79E24" w:rsidR="00797184" w:rsidRPr="001A2474" w:rsidRDefault="00797184" w:rsidP="00282028">
            <w:pPr>
              <w:rPr>
                <w:rFonts w:ascii="Tahoma" w:hAnsi="Tahoma" w:cs="Tahoma"/>
                <w:sz w:val="24"/>
                <w:szCs w:val="24"/>
              </w:rPr>
            </w:pPr>
          </w:p>
        </w:tc>
        <w:tc>
          <w:tcPr>
            <w:tcW w:w="4999" w:type="dxa"/>
            <w:tcBorders>
              <w:bottom w:val="single" w:sz="4" w:space="0" w:color="auto"/>
            </w:tcBorders>
          </w:tcPr>
          <w:p w14:paraId="6C7D28C8" w14:textId="52407F9F" w:rsidR="00282028" w:rsidRPr="001A2474" w:rsidRDefault="00485017" w:rsidP="00282028">
            <w:pPr>
              <w:rPr>
                <w:rFonts w:ascii="Tahoma" w:hAnsi="Tahoma" w:cs="Tahoma"/>
                <w:sz w:val="24"/>
                <w:szCs w:val="24"/>
              </w:rPr>
            </w:pPr>
            <w:r w:rsidRPr="001A2474">
              <w:rPr>
                <w:rFonts w:ascii="Tahoma" w:hAnsi="Tahoma" w:cs="Tahoma"/>
                <w:b/>
                <w:sz w:val="24"/>
                <w:szCs w:val="24"/>
              </w:rPr>
              <w:t xml:space="preserve">Salary Range:  </w:t>
            </w:r>
          </w:p>
          <w:p w14:paraId="4FD6973B" w14:textId="33BC9B19" w:rsidR="00420B1E" w:rsidRPr="007D210B" w:rsidRDefault="00AD1817" w:rsidP="00AD1817">
            <w:pPr>
              <w:rPr>
                <w:rFonts w:ascii="Tahoma" w:hAnsi="Tahoma" w:cs="Tahoma"/>
                <w:color w:val="FF0000"/>
                <w:sz w:val="24"/>
                <w:szCs w:val="24"/>
              </w:rPr>
            </w:pPr>
            <w:r w:rsidRPr="00AD1817">
              <w:rPr>
                <w:rFonts w:ascii="Tahoma" w:hAnsi="Tahoma" w:cs="Tahoma"/>
                <w:sz w:val="24"/>
                <w:szCs w:val="24"/>
              </w:rPr>
              <w:t>GR3</w:t>
            </w:r>
          </w:p>
        </w:tc>
      </w:tr>
      <w:tr w:rsidR="00485017" w:rsidRPr="001A2474" w14:paraId="66AFF4BA" w14:textId="77777777" w:rsidTr="00485017">
        <w:tc>
          <w:tcPr>
            <w:tcW w:w="4998" w:type="dxa"/>
          </w:tcPr>
          <w:p w14:paraId="0723C082" w14:textId="77777777" w:rsidR="001A2474" w:rsidRPr="001A2474" w:rsidRDefault="00485017" w:rsidP="00282028">
            <w:pPr>
              <w:rPr>
                <w:rFonts w:ascii="Tahoma" w:hAnsi="Tahoma" w:cs="Tahoma"/>
                <w:b/>
                <w:sz w:val="24"/>
                <w:szCs w:val="24"/>
              </w:rPr>
            </w:pPr>
            <w:r w:rsidRPr="001A2474">
              <w:rPr>
                <w:rFonts w:ascii="Tahoma" w:hAnsi="Tahoma" w:cs="Tahoma"/>
                <w:b/>
                <w:sz w:val="24"/>
                <w:szCs w:val="24"/>
              </w:rPr>
              <w:t xml:space="preserve">Accountable to:  </w:t>
            </w:r>
          </w:p>
          <w:p w14:paraId="14DD2117" w14:textId="5B609BBF" w:rsidR="00485017" w:rsidRDefault="001A2474" w:rsidP="00282028">
            <w:pPr>
              <w:rPr>
                <w:rFonts w:ascii="Tahoma" w:hAnsi="Tahoma" w:cs="Tahoma"/>
                <w:b/>
                <w:sz w:val="24"/>
                <w:szCs w:val="24"/>
              </w:rPr>
            </w:pPr>
            <w:r w:rsidRPr="001A2474">
              <w:rPr>
                <w:rFonts w:ascii="Tahoma" w:hAnsi="Tahoma" w:cs="Tahoma"/>
                <w:b/>
                <w:sz w:val="24"/>
                <w:szCs w:val="24"/>
              </w:rPr>
              <w:t>Deputy He</w:t>
            </w:r>
            <w:r w:rsidR="007D210B">
              <w:rPr>
                <w:rFonts w:ascii="Tahoma" w:hAnsi="Tahoma" w:cs="Tahoma"/>
                <w:b/>
                <w:sz w:val="24"/>
                <w:szCs w:val="24"/>
              </w:rPr>
              <w:t>adteacher.</w:t>
            </w:r>
          </w:p>
          <w:p w14:paraId="738624F3" w14:textId="57C7538D" w:rsidR="001A2474" w:rsidRPr="001A2474" w:rsidRDefault="001A2474" w:rsidP="00282028">
            <w:pPr>
              <w:rPr>
                <w:rFonts w:ascii="Tahoma" w:hAnsi="Tahoma" w:cs="Tahoma"/>
                <w:sz w:val="24"/>
                <w:szCs w:val="24"/>
              </w:rPr>
            </w:pPr>
          </w:p>
        </w:tc>
        <w:tc>
          <w:tcPr>
            <w:tcW w:w="4999" w:type="dxa"/>
            <w:tcBorders>
              <w:bottom w:val="nil"/>
              <w:right w:val="nil"/>
            </w:tcBorders>
          </w:tcPr>
          <w:p w14:paraId="7C4463A7" w14:textId="77777777" w:rsidR="00485017" w:rsidRPr="001A2474" w:rsidRDefault="00485017" w:rsidP="00B711D8">
            <w:pPr>
              <w:rPr>
                <w:rFonts w:ascii="Tahoma" w:hAnsi="Tahoma" w:cs="Tahoma"/>
                <w:b/>
                <w:sz w:val="24"/>
                <w:szCs w:val="24"/>
              </w:rPr>
            </w:pPr>
          </w:p>
        </w:tc>
      </w:tr>
    </w:tbl>
    <w:p w14:paraId="074C758A" w14:textId="77777777" w:rsidR="00485017" w:rsidRPr="001A2474" w:rsidRDefault="00485017" w:rsidP="00B711D8">
      <w:pPr>
        <w:spacing w:after="0" w:line="240" w:lineRule="auto"/>
        <w:rPr>
          <w:rFonts w:ascii="Tahoma" w:hAnsi="Tahoma" w:cs="Tahoma"/>
          <w:sz w:val="24"/>
          <w:szCs w:val="24"/>
        </w:rPr>
      </w:pPr>
    </w:p>
    <w:p w14:paraId="44D7431D" w14:textId="019CE0EB" w:rsidR="00FE0CFD" w:rsidRPr="001A2474" w:rsidRDefault="00FE0CFD" w:rsidP="00B711D8">
      <w:pPr>
        <w:spacing w:after="0" w:line="240" w:lineRule="auto"/>
        <w:rPr>
          <w:rFonts w:ascii="Tahoma" w:hAnsi="Tahoma" w:cs="Tahoma"/>
          <w:b/>
          <w:sz w:val="24"/>
          <w:szCs w:val="24"/>
        </w:rPr>
      </w:pPr>
      <w:bookmarkStart w:id="0" w:name="_GoBack"/>
      <w:bookmarkEnd w:id="0"/>
    </w:p>
    <w:p w14:paraId="2D6966A7" w14:textId="4456F735" w:rsidR="00797184" w:rsidRDefault="004E5F8C" w:rsidP="004E5F8C">
      <w:pPr>
        <w:spacing w:after="0" w:line="240" w:lineRule="auto"/>
        <w:rPr>
          <w:rFonts w:ascii="Tahoma" w:hAnsi="Tahoma" w:cs="Tahoma"/>
          <w:b/>
        </w:rPr>
      </w:pPr>
      <w:r w:rsidRPr="001A2474">
        <w:rPr>
          <w:rFonts w:ascii="Tahoma" w:hAnsi="Tahoma" w:cs="Tahoma"/>
          <w:b/>
          <w:sz w:val="24"/>
          <w:szCs w:val="24"/>
        </w:rPr>
        <w:t xml:space="preserve">Job Purpose </w:t>
      </w:r>
    </w:p>
    <w:p w14:paraId="57569634" w14:textId="2FCD1C96" w:rsidR="00797184" w:rsidRDefault="00797184" w:rsidP="004E5F8C">
      <w:pPr>
        <w:spacing w:after="0" w:line="240" w:lineRule="auto"/>
        <w:rPr>
          <w:rFonts w:ascii="Tahoma" w:hAnsi="Tahoma" w:cs="Tahoma"/>
          <w:b/>
        </w:rPr>
      </w:pPr>
    </w:p>
    <w:p w14:paraId="6ACE7C35" w14:textId="16FBD209" w:rsidR="00797184" w:rsidRPr="00797184" w:rsidRDefault="00797184" w:rsidP="00797184">
      <w:pPr>
        <w:pStyle w:val="ListParagraph"/>
        <w:numPr>
          <w:ilvl w:val="0"/>
          <w:numId w:val="45"/>
        </w:numPr>
        <w:spacing w:after="0" w:line="240" w:lineRule="auto"/>
        <w:rPr>
          <w:rFonts w:ascii="Tahoma" w:hAnsi="Tahoma" w:cs="Tahoma"/>
          <w:b/>
        </w:rPr>
      </w:pPr>
      <w:r w:rsidRPr="00797184">
        <w:rPr>
          <w:rFonts w:ascii="Tahoma" w:hAnsi="Tahoma" w:cs="Tahoma"/>
          <w:b/>
        </w:rPr>
        <w:t>This position has three distinct responsibilities:</w:t>
      </w:r>
    </w:p>
    <w:p w14:paraId="3AADDD42" w14:textId="77777777" w:rsidR="004E5F8C" w:rsidRPr="00797184" w:rsidRDefault="004E5F8C" w:rsidP="004E5F8C">
      <w:pPr>
        <w:spacing w:after="0" w:line="240" w:lineRule="auto"/>
        <w:rPr>
          <w:rFonts w:ascii="Tahoma" w:hAnsi="Tahoma" w:cs="Tahoma"/>
          <w:b/>
        </w:rPr>
      </w:pPr>
    </w:p>
    <w:p w14:paraId="229303D6" w14:textId="0B8FBBDA" w:rsidR="004E5F8C" w:rsidRPr="00797184" w:rsidRDefault="00797184" w:rsidP="001A2474">
      <w:pPr>
        <w:pStyle w:val="ListParagraph"/>
        <w:numPr>
          <w:ilvl w:val="0"/>
          <w:numId w:val="43"/>
        </w:numPr>
        <w:spacing w:after="0" w:line="240" w:lineRule="auto"/>
        <w:rPr>
          <w:rFonts w:ascii="Tahoma" w:hAnsi="Tahoma" w:cs="Tahoma"/>
        </w:rPr>
      </w:pPr>
      <w:r w:rsidRPr="00797184">
        <w:rPr>
          <w:rFonts w:ascii="Tahoma" w:hAnsi="Tahoma" w:cs="Tahoma"/>
        </w:rPr>
        <w:t>As</w:t>
      </w:r>
      <w:r w:rsidR="001A2474" w:rsidRPr="00797184">
        <w:rPr>
          <w:rFonts w:ascii="Tahoma" w:hAnsi="Tahoma" w:cs="Tahoma"/>
        </w:rPr>
        <w:t xml:space="preserve"> Exams Officer</w:t>
      </w:r>
      <w:r w:rsidRPr="00797184">
        <w:rPr>
          <w:rFonts w:ascii="Tahoma" w:hAnsi="Tahoma" w:cs="Tahoma"/>
        </w:rPr>
        <w:t xml:space="preserve">, </w:t>
      </w:r>
      <w:r w:rsidR="007D210B">
        <w:rPr>
          <w:rFonts w:ascii="Tahoma" w:hAnsi="Tahoma" w:cs="Tahoma"/>
        </w:rPr>
        <w:t xml:space="preserve">to be </w:t>
      </w:r>
      <w:r w:rsidRPr="00797184">
        <w:rPr>
          <w:rFonts w:ascii="Tahoma" w:hAnsi="Tahoma" w:cs="Tahoma"/>
        </w:rPr>
        <w:t>r</w:t>
      </w:r>
      <w:r w:rsidR="001A2474" w:rsidRPr="00797184">
        <w:rPr>
          <w:rFonts w:ascii="Tahoma" w:hAnsi="Tahoma" w:cs="Tahoma"/>
        </w:rPr>
        <w:t>esponsible for the adminis</w:t>
      </w:r>
      <w:r w:rsidR="007D210B">
        <w:rPr>
          <w:rFonts w:ascii="Tahoma" w:hAnsi="Tahoma" w:cs="Tahoma"/>
        </w:rPr>
        <w:t xml:space="preserve">tration of external exams.  To </w:t>
      </w:r>
      <w:r w:rsidR="001A2474" w:rsidRPr="00797184">
        <w:rPr>
          <w:rFonts w:ascii="Tahoma" w:hAnsi="Tahoma" w:cs="Tahoma"/>
        </w:rPr>
        <w:t>communicate with all the appropriate exam boards and ensure staff are informed of all relevant</w:t>
      </w:r>
      <w:r w:rsidR="007D210B">
        <w:rPr>
          <w:rFonts w:ascii="Tahoma" w:hAnsi="Tahoma" w:cs="Tahoma"/>
        </w:rPr>
        <w:t xml:space="preserve"> information received from the exam boards</w:t>
      </w:r>
    </w:p>
    <w:p w14:paraId="0F64221E" w14:textId="13774A9D" w:rsidR="00797184" w:rsidRPr="00797184" w:rsidRDefault="00797184" w:rsidP="00797184">
      <w:pPr>
        <w:spacing w:after="0" w:line="240" w:lineRule="auto"/>
        <w:rPr>
          <w:rFonts w:ascii="Tahoma" w:hAnsi="Tahoma" w:cs="Tahoma"/>
        </w:rPr>
      </w:pPr>
    </w:p>
    <w:p w14:paraId="62762A4C" w14:textId="0F2E6EFE" w:rsidR="00797184" w:rsidRPr="00797184" w:rsidRDefault="00797184" w:rsidP="00797184">
      <w:pPr>
        <w:pStyle w:val="ListParagraph"/>
        <w:numPr>
          <w:ilvl w:val="0"/>
          <w:numId w:val="43"/>
        </w:numPr>
        <w:spacing w:after="0" w:line="240" w:lineRule="auto"/>
        <w:rPr>
          <w:rFonts w:ascii="Tahoma" w:hAnsi="Tahoma" w:cs="Tahoma"/>
        </w:rPr>
      </w:pPr>
      <w:r>
        <w:rPr>
          <w:rFonts w:ascii="Tahoma" w:hAnsi="Tahoma" w:cs="Tahoma"/>
        </w:rPr>
        <w:t xml:space="preserve">As Careers Leader, </w:t>
      </w:r>
      <w:r w:rsidR="007D210B">
        <w:rPr>
          <w:rFonts w:ascii="Tahoma" w:hAnsi="Tahoma" w:cs="Tahoma"/>
        </w:rPr>
        <w:t xml:space="preserve">to be </w:t>
      </w:r>
      <w:r>
        <w:rPr>
          <w:rFonts w:ascii="Tahoma" w:hAnsi="Tahoma" w:cs="Tahoma"/>
        </w:rPr>
        <w:t xml:space="preserve">responsible for providing impartial careers education, advice and guidance to students.  </w:t>
      </w:r>
      <w:r w:rsidR="007D210B">
        <w:rPr>
          <w:rFonts w:ascii="Tahoma" w:hAnsi="Tahoma" w:cs="Tahoma"/>
        </w:rPr>
        <w:t>To advise</w:t>
      </w:r>
      <w:r>
        <w:rPr>
          <w:rFonts w:ascii="Tahoma" w:hAnsi="Tahoma" w:cs="Tahoma"/>
        </w:rPr>
        <w:t xml:space="preserve"> on the delivery of whole school careers education and ensuring</w:t>
      </w:r>
      <w:r w:rsidR="007D210B">
        <w:rPr>
          <w:rFonts w:ascii="Tahoma" w:hAnsi="Tahoma" w:cs="Tahoma"/>
        </w:rPr>
        <w:t xml:space="preserve"> students have</w:t>
      </w:r>
      <w:r>
        <w:rPr>
          <w:rFonts w:ascii="Tahoma" w:hAnsi="Tahoma" w:cs="Tahoma"/>
        </w:rPr>
        <w:t xml:space="preserve"> a wide range of opportunities and experiences</w:t>
      </w:r>
      <w:r w:rsidR="007D210B">
        <w:rPr>
          <w:rFonts w:ascii="Tahoma" w:hAnsi="Tahoma" w:cs="Tahoma"/>
        </w:rPr>
        <w:t xml:space="preserve"> to help inform their decisions</w:t>
      </w:r>
    </w:p>
    <w:p w14:paraId="1566B4F8" w14:textId="174897B6" w:rsidR="001A2474" w:rsidRPr="00797184" w:rsidRDefault="001A2474" w:rsidP="001A2474">
      <w:pPr>
        <w:spacing w:after="0" w:line="240" w:lineRule="auto"/>
        <w:rPr>
          <w:rFonts w:ascii="Tahoma" w:hAnsi="Tahoma" w:cs="Tahoma"/>
          <w:b/>
        </w:rPr>
      </w:pPr>
    </w:p>
    <w:p w14:paraId="771B9F0C" w14:textId="3FA6B296" w:rsidR="00391B22" w:rsidRDefault="00391B22" w:rsidP="001A2474">
      <w:pPr>
        <w:pStyle w:val="ListParagraph"/>
        <w:numPr>
          <w:ilvl w:val="0"/>
          <w:numId w:val="42"/>
        </w:numPr>
        <w:spacing w:after="0" w:line="240" w:lineRule="auto"/>
        <w:rPr>
          <w:rFonts w:ascii="Tahoma" w:hAnsi="Tahoma" w:cs="Tahoma"/>
        </w:rPr>
      </w:pPr>
      <w:r>
        <w:rPr>
          <w:rFonts w:ascii="Tahoma" w:hAnsi="Tahoma" w:cs="Tahoma"/>
        </w:rPr>
        <w:t xml:space="preserve">As Community Liaison, </w:t>
      </w:r>
      <w:r w:rsidR="007D210B">
        <w:rPr>
          <w:rFonts w:ascii="Tahoma" w:hAnsi="Tahoma" w:cs="Tahoma"/>
        </w:rPr>
        <w:t xml:space="preserve">to be </w:t>
      </w:r>
      <w:r>
        <w:rPr>
          <w:rFonts w:ascii="Tahoma" w:hAnsi="Tahoma" w:cs="Tahoma"/>
        </w:rPr>
        <w:t>responsible for forging and developing strong local community relationships. To identify and manage community opportunities for s</w:t>
      </w:r>
      <w:r w:rsidR="007D210B">
        <w:rPr>
          <w:rFonts w:ascii="Tahoma" w:hAnsi="Tahoma" w:cs="Tahoma"/>
        </w:rPr>
        <w:t>tudents and support when required to ensure to good name of Jewellery Quarter Academy</w:t>
      </w:r>
    </w:p>
    <w:p w14:paraId="2D222A5F" w14:textId="77777777" w:rsidR="00391B22" w:rsidRDefault="00391B22" w:rsidP="00391B22">
      <w:pPr>
        <w:pStyle w:val="ListParagraph"/>
        <w:spacing w:after="0" w:line="240" w:lineRule="auto"/>
        <w:ind w:left="360"/>
        <w:rPr>
          <w:rFonts w:ascii="Tahoma" w:hAnsi="Tahoma" w:cs="Tahoma"/>
        </w:rPr>
      </w:pPr>
    </w:p>
    <w:p w14:paraId="20395055" w14:textId="6A930478" w:rsidR="001A2474" w:rsidRPr="00797184" w:rsidRDefault="001A2474" w:rsidP="001A2474">
      <w:pPr>
        <w:pStyle w:val="ListParagraph"/>
        <w:numPr>
          <w:ilvl w:val="0"/>
          <w:numId w:val="42"/>
        </w:numPr>
        <w:spacing w:after="0" w:line="240" w:lineRule="auto"/>
        <w:rPr>
          <w:rFonts w:ascii="Tahoma" w:hAnsi="Tahoma" w:cs="Tahoma"/>
        </w:rPr>
      </w:pPr>
      <w:r w:rsidRPr="00797184">
        <w:rPr>
          <w:rFonts w:ascii="Tahoma" w:hAnsi="Tahoma" w:cs="Tahoma"/>
        </w:rPr>
        <w:t>Report as appropriate to the Deputy Headteacher</w:t>
      </w:r>
    </w:p>
    <w:p w14:paraId="51CB963C" w14:textId="77777777" w:rsidR="001A2474" w:rsidRPr="00797184" w:rsidRDefault="001A2474" w:rsidP="001A2474">
      <w:pPr>
        <w:spacing w:after="0" w:line="240" w:lineRule="auto"/>
        <w:contextualSpacing/>
        <w:rPr>
          <w:rFonts w:ascii="Tahoma" w:eastAsia="Calibri" w:hAnsi="Tahoma" w:cs="Tahoma"/>
          <w:lang w:val="en-US"/>
        </w:rPr>
      </w:pPr>
    </w:p>
    <w:p w14:paraId="7425E692" w14:textId="236D8FA2" w:rsidR="00797184" w:rsidRPr="00391B22" w:rsidRDefault="001A2474" w:rsidP="00391B22">
      <w:pPr>
        <w:pStyle w:val="ListParagraph"/>
        <w:numPr>
          <w:ilvl w:val="0"/>
          <w:numId w:val="42"/>
        </w:numPr>
        <w:spacing w:after="0" w:line="240" w:lineRule="auto"/>
        <w:rPr>
          <w:rFonts w:ascii="Tahoma" w:hAnsi="Tahoma" w:cs="Tahoma"/>
        </w:rPr>
      </w:pPr>
      <w:r w:rsidRPr="00797184">
        <w:rPr>
          <w:rFonts w:ascii="Tahoma" w:hAnsi="Tahoma" w:cs="Tahoma"/>
        </w:rPr>
        <w:t>To ensure compliance with all policies and procedures relevant to the position</w:t>
      </w:r>
    </w:p>
    <w:p w14:paraId="18725DBE" w14:textId="12F44286" w:rsidR="001A2474" w:rsidRDefault="001A2474" w:rsidP="001A2474">
      <w:pPr>
        <w:spacing w:after="0" w:line="240" w:lineRule="auto"/>
        <w:rPr>
          <w:rFonts w:ascii="Tahoma" w:hAnsi="Tahoma" w:cs="Tahoma"/>
          <w:sz w:val="24"/>
          <w:szCs w:val="24"/>
        </w:rPr>
      </w:pPr>
    </w:p>
    <w:p w14:paraId="19F6BADC" w14:textId="47A91027" w:rsidR="001A2474" w:rsidRPr="001A2474" w:rsidRDefault="001A2474" w:rsidP="004E5F8C">
      <w:pPr>
        <w:spacing w:after="0" w:line="240" w:lineRule="auto"/>
        <w:contextualSpacing/>
        <w:rPr>
          <w:rFonts w:ascii="Tahoma" w:eastAsia="Calibri" w:hAnsi="Tahoma" w:cs="Tahoma"/>
          <w:sz w:val="24"/>
          <w:szCs w:val="24"/>
          <w:lang w:val="en-US"/>
        </w:rPr>
      </w:pPr>
    </w:p>
    <w:p w14:paraId="7D75314B" w14:textId="3D2BEF93" w:rsidR="00426E77" w:rsidRDefault="001A2474" w:rsidP="004E5F8C">
      <w:pPr>
        <w:spacing w:after="0" w:line="240" w:lineRule="auto"/>
        <w:contextualSpacing/>
        <w:rPr>
          <w:rFonts w:ascii="Tahoma" w:eastAsia="Calibri" w:hAnsi="Tahoma" w:cs="Tahoma"/>
          <w:b/>
          <w:sz w:val="24"/>
          <w:szCs w:val="24"/>
          <w:lang w:val="en-US"/>
        </w:rPr>
      </w:pPr>
      <w:r w:rsidRPr="001A2474">
        <w:rPr>
          <w:rFonts w:ascii="Tahoma" w:eastAsia="Calibri" w:hAnsi="Tahoma" w:cs="Tahoma"/>
          <w:b/>
          <w:sz w:val="24"/>
          <w:szCs w:val="24"/>
          <w:lang w:val="en-US"/>
        </w:rPr>
        <w:t>Responsibilities</w:t>
      </w:r>
    </w:p>
    <w:p w14:paraId="5992BD4E" w14:textId="6D75508B" w:rsidR="00391B22" w:rsidRDefault="00391B22" w:rsidP="004E5F8C">
      <w:pPr>
        <w:spacing w:after="0" w:line="240" w:lineRule="auto"/>
        <w:contextualSpacing/>
        <w:rPr>
          <w:rFonts w:ascii="Tahoma" w:eastAsia="Calibri" w:hAnsi="Tahoma" w:cs="Tahoma"/>
          <w:b/>
          <w:sz w:val="24"/>
          <w:szCs w:val="24"/>
          <w:lang w:val="en-US"/>
        </w:rPr>
      </w:pPr>
    </w:p>
    <w:p w14:paraId="489FE453" w14:textId="16F6846F" w:rsidR="00391B22" w:rsidRPr="001A2474" w:rsidRDefault="00391B22" w:rsidP="004E5F8C">
      <w:pPr>
        <w:spacing w:after="0" w:line="240" w:lineRule="auto"/>
        <w:contextualSpacing/>
        <w:rPr>
          <w:rFonts w:ascii="Tahoma" w:eastAsia="Calibri" w:hAnsi="Tahoma" w:cs="Tahoma"/>
          <w:b/>
          <w:sz w:val="24"/>
          <w:szCs w:val="24"/>
          <w:lang w:val="en-US"/>
        </w:rPr>
      </w:pPr>
      <w:r>
        <w:rPr>
          <w:rFonts w:ascii="Tahoma" w:eastAsia="Calibri" w:hAnsi="Tahoma" w:cs="Tahoma"/>
          <w:b/>
          <w:sz w:val="24"/>
          <w:szCs w:val="24"/>
          <w:lang w:val="en-US"/>
        </w:rPr>
        <w:t>Exams Officer.</w:t>
      </w:r>
    </w:p>
    <w:p w14:paraId="38C6BCB1"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Liaising with a wide range of internal and external stakeholders, including students, parents, Heads of Departments, Heads of Years, teachers, reception staff, site staff, IT staff and awarding organisations</w:t>
      </w:r>
    </w:p>
    <w:p w14:paraId="3ED461C6" w14:textId="4628F237" w:rsidR="001A2474" w:rsidRPr="007D210B" w:rsidRDefault="007D210B"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Undertake all relevant training to ensure</w:t>
      </w:r>
      <w:r w:rsidR="001A2474" w:rsidRPr="007D210B">
        <w:rPr>
          <w:rFonts w:ascii="Tahoma" w:eastAsia="Times New Roman" w:hAnsi="Tahoma" w:cs="Tahoma"/>
          <w:lang w:eastAsia="en-GB"/>
        </w:rPr>
        <w:t xml:space="preserve"> aware</w:t>
      </w:r>
      <w:r w:rsidRPr="007D210B">
        <w:rPr>
          <w:rFonts w:ascii="Tahoma" w:eastAsia="Times New Roman" w:hAnsi="Tahoma" w:cs="Tahoma"/>
          <w:lang w:eastAsia="en-GB"/>
        </w:rPr>
        <w:t>ness</w:t>
      </w:r>
      <w:r w:rsidR="001A2474" w:rsidRPr="007D210B">
        <w:rPr>
          <w:rFonts w:ascii="Tahoma" w:eastAsia="Times New Roman" w:hAnsi="Tahoma" w:cs="Tahoma"/>
          <w:lang w:eastAsia="en-GB"/>
        </w:rPr>
        <w:t xml:space="preserve"> of examination changes each academic year</w:t>
      </w:r>
    </w:p>
    <w:p w14:paraId="74B7B116"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Managing invigilators. This includes training new invigilators and updating existing invigilators on rules and regulation changes on an annual basis</w:t>
      </w:r>
    </w:p>
    <w:p w14:paraId="461186C3"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Updating examination-related policies</w:t>
      </w:r>
    </w:p>
    <w:p w14:paraId="296BC4BA"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lastRenderedPageBreak/>
        <w:t>Managing the examination entry process, including gathering information from teaching staff to ensure that students’ examination entries are made correctly and on time, making amendments/withdrawals etc.</w:t>
      </w:r>
    </w:p>
    <w:p w14:paraId="2666DDE7"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Managing the examination preparation process. This includes preparing examination timetables for students and staff; creating seating plans for each examination room; briefing candidates, staff and parents; receiving, checking and securely storing confidential examination materials; administering internal assessment etc.</w:t>
      </w:r>
    </w:p>
    <w:p w14:paraId="535BA196"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 xml:space="preserve">Supporting the process relating to access arrangements (for example; supporting the </w:t>
      </w:r>
      <w:proofErr w:type="spellStart"/>
      <w:r w:rsidRPr="007D210B">
        <w:rPr>
          <w:rFonts w:ascii="Tahoma" w:eastAsia="Times New Roman" w:hAnsi="Tahoma" w:cs="Tahoma"/>
          <w:lang w:eastAsia="en-GB"/>
        </w:rPr>
        <w:t>SENCo</w:t>
      </w:r>
      <w:proofErr w:type="spellEnd"/>
      <w:r w:rsidRPr="007D210B">
        <w:rPr>
          <w:rFonts w:ascii="Tahoma" w:eastAsia="Times New Roman" w:hAnsi="Tahoma" w:cs="Tahoma"/>
          <w:lang w:eastAsia="en-GB"/>
        </w:rPr>
        <w:t xml:space="preserve"> in making applications, rooming, training invigilators, managing emergency access arrangements etc.)</w:t>
      </w:r>
    </w:p>
    <w:p w14:paraId="7D52D9F2"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Managing examination days in accordance with awarding body regulations, including preparing for each exam day, starting an examination, dealing with emergencies, irregularities and malpractice, ending the examination, collecting the examination scripts and packing and dispatching examination scripts</w:t>
      </w:r>
    </w:p>
    <w:p w14:paraId="6E800CAD"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Contingency planning</w:t>
      </w:r>
    </w:p>
    <w:p w14:paraId="41733B1D"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Managing examination results. This includes accessing results electronically/downloading results from awarding body secure sites and preparing for results to be disseminated to each student/candidate</w:t>
      </w:r>
    </w:p>
    <w:p w14:paraId="7CAFA185" w14:textId="77777777" w:rsidR="001A2474" w:rsidRPr="007D210B" w:rsidRDefault="001A2474" w:rsidP="001A2474">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Dealing with requests and administering post-results services</w:t>
      </w:r>
    </w:p>
    <w:p w14:paraId="5136DD5F" w14:textId="095E9A50" w:rsidR="00391B22" w:rsidRPr="007D210B" w:rsidRDefault="001A2474" w:rsidP="00391B22">
      <w:pPr>
        <w:numPr>
          <w:ilvl w:val="0"/>
          <w:numId w:val="44"/>
        </w:numPr>
        <w:shd w:val="clear" w:color="auto" w:fill="FFFFFF"/>
        <w:spacing w:before="100" w:beforeAutospacing="1" w:after="100" w:afterAutospacing="1" w:line="240" w:lineRule="auto"/>
        <w:rPr>
          <w:rFonts w:ascii="Tahoma" w:eastAsia="Times New Roman" w:hAnsi="Tahoma" w:cs="Tahoma"/>
          <w:lang w:eastAsia="en-GB"/>
        </w:rPr>
      </w:pPr>
      <w:r w:rsidRPr="007D210B">
        <w:rPr>
          <w:rFonts w:ascii="Tahoma" w:eastAsia="Times New Roman" w:hAnsi="Tahoma" w:cs="Tahoma"/>
          <w:lang w:eastAsia="en-GB"/>
        </w:rPr>
        <w:t>Issuing examination certificates</w:t>
      </w:r>
    </w:p>
    <w:p w14:paraId="111D50A6" w14:textId="2453546F" w:rsidR="00391B22" w:rsidRDefault="00391B22" w:rsidP="00391B22">
      <w:p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b/>
          <w:sz w:val="24"/>
          <w:szCs w:val="24"/>
          <w:lang w:eastAsia="en-GB"/>
        </w:rPr>
        <w:t>Careers Leader.</w:t>
      </w:r>
    </w:p>
    <w:p w14:paraId="2BDAF141" w14:textId="14890E3F" w:rsidR="00391B22" w:rsidRPr="00E937D5" w:rsidRDefault="00391B22" w:rsidP="00391B22">
      <w:pPr>
        <w:pStyle w:val="ListParagraph"/>
        <w:numPr>
          <w:ilvl w:val="0"/>
          <w:numId w:val="46"/>
        </w:num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lang w:eastAsia="en-GB"/>
        </w:rPr>
        <w:t xml:space="preserve">Provide good quality impartial careers guidance to students in line </w:t>
      </w:r>
      <w:r w:rsidR="007D210B">
        <w:rPr>
          <w:rFonts w:ascii="Tahoma" w:eastAsia="Times New Roman" w:hAnsi="Tahoma" w:cs="Tahoma"/>
          <w:lang w:eastAsia="en-GB"/>
        </w:rPr>
        <w:t>with all</w:t>
      </w:r>
      <w:r>
        <w:rPr>
          <w:rFonts w:ascii="Tahoma" w:eastAsia="Times New Roman" w:hAnsi="Tahoma" w:cs="Tahoma"/>
          <w:lang w:eastAsia="en-GB"/>
        </w:rPr>
        <w:t xml:space="preserve"> statutory guidance</w:t>
      </w:r>
    </w:p>
    <w:p w14:paraId="77B3BA9A" w14:textId="072442F2" w:rsidR="00E937D5" w:rsidRPr="00391B22" w:rsidRDefault="00E937D5" w:rsidP="00391B22">
      <w:pPr>
        <w:pStyle w:val="ListParagraph"/>
        <w:numPr>
          <w:ilvl w:val="0"/>
          <w:numId w:val="46"/>
        </w:num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lang w:eastAsia="en-GB"/>
        </w:rPr>
        <w:t xml:space="preserve">To ensure all statutory, monitoring and inspection </w:t>
      </w:r>
      <w:r w:rsidR="007D210B">
        <w:rPr>
          <w:rFonts w:ascii="Tahoma" w:eastAsia="Times New Roman" w:hAnsi="Tahoma" w:cs="Tahoma"/>
          <w:lang w:eastAsia="en-GB"/>
        </w:rPr>
        <w:t xml:space="preserve">information and </w:t>
      </w:r>
      <w:r>
        <w:rPr>
          <w:rFonts w:ascii="Tahoma" w:eastAsia="Times New Roman" w:hAnsi="Tahoma" w:cs="Tahoma"/>
          <w:lang w:eastAsia="en-GB"/>
        </w:rPr>
        <w:t>administration is accurate and up to date</w:t>
      </w:r>
    </w:p>
    <w:p w14:paraId="1F989BF8" w14:textId="5F0A45EF" w:rsidR="00391B22" w:rsidRPr="00391B22" w:rsidRDefault="00391B22" w:rsidP="00391B22">
      <w:pPr>
        <w:pStyle w:val="ListParagraph"/>
        <w:numPr>
          <w:ilvl w:val="0"/>
          <w:numId w:val="46"/>
        </w:num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lang w:eastAsia="en-GB"/>
        </w:rPr>
        <w:t>To meet with individual or groups of students to provide more personalised guidance</w:t>
      </w:r>
    </w:p>
    <w:p w14:paraId="305DCA11" w14:textId="77777777" w:rsidR="00E937D5" w:rsidRPr="00E937D5" w:rsidRDefault="00391B22" w:rsidP="00391B22">
      <w:pPr>
        <w:pStyle w:val="ListParagraph"/>
        <w:numPr>
          <w:ilvl w:val="0"/>
          <w:numId w:val="46"/>
        </w:num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lang w:eastAsia="en-GB"/>
        </w:rPr>
        <w:t xml:space="preserve">To organise school events and visits to provide further specialist guidance </w:t>
      </w:r>
      <w:r w:rsidR="00E937D5">
        <w:rPr>
          <w:rFonts w:ascii="Tahoma" w:eastAsia="Times New Roman" w:hAnsi="Tahoma" w:cs="Tahoma"/>
          <w:lang w:eastAsia="en-GB"/>
        </w:rPr>
        <w:t>from professionals across a range of careers</w:t>
      </w:r>
    </w:p>
    <w:p w14:paraId="2829D0F2" w14:textId="07F0675D" w:rsidR="00391B22" w:rsidRPr="00E937D5" w:rsidRDefault="00E937D5" w:rsidP="00391B22">
      <w:pPr>
        <w:pStyle w:val="ListParagraph"/>
        <w:numPr>
          <w:ilvl w:val="0"/>
          <w:numId w:val="46"/>
        </w:num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lang w:eastAsia="en-GB"/>
        </w:rPr>
        <w:t>To lead on work experience for students</w:t>
      </w:r>
    </w:p>
    <w:p w14:paraId="2CBA2065" w14:textId="1EF9D423" w:rsidR="00E937D5" w:rsidRPr="00E937D5" w:rsidRDefault="007D210B" w:rsidP="00391B22">
      <w:pPr>
        <w:pStyle w:val="ListParagraph"/>
        <w:numPr>
          <w:ilvl w:val="0"/>
          <w:numId w:val="46"/>
        </w:num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lang w:eastAsia="en-GB"/>
        </w:rPr>
        <w:t>To develop</w:t>
      </w:r>
      <w:r w:rsidR="00E937D5">
        <w:rPr>
          <w:rFonts w:ascii="Tahoma" w:eastAsia="Times New Roman" w:hAnsi="Tahoma" w:cs="Tahoma"/>
          <w:lang w:eastAsia="en-GB"/>
        </w:rPr>
        <w:t xml:space="preserve"> information resource</w:t>
      </w:r>
      <w:r>
        <w:rPr>
          <w:rFonts w:ascii="Tahoma" w:eastAsia="Times New Roman" w:hAnsi="Tahoma" w:cs="Tahoma"/>
          <w:lang w:eastAsia="en-GB"/>
        </w:rPr>
        <w:t>s for students</w:t>
      </w:r>
    </w:p>
    <w:p w14:paraId="7B35DDD3" w14:textId="1B691960" w:rsidR="00E937D5" w:rsidRPr="00E937D5" w:rsidRDefault="00E937D5" w:rsidP="00391B22">
      <w:pPr>
        <w:pStyle w:val="ListParagraph"/>
        <w:numPr>
          <w:ilvl w:val="0"/>
          <w:numId w:val="46"/>
        </w:num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lang w:eastAsia="en-GB"/>
        </w:rPr>
        <w:t>To liaise and negotiate with organisations</w:t>
      </w:r>
      <w:r w:rsidR="007D210B">
        <w:rPr>
          <w:rFonts w:ascii="Tahoma" w:eastAsia="Times New Roman" w:hAnsi="Tahoma" w:cs="Tahoma"/>
          <w:lang w:eastAsia="en-GB"/>
        </w:rPr>
        <w:t xml:space="preserve"> that can provide opportunities</w:t>
      </w:r>
      <w:r>
        <w:rPr>
          <w:rFonts w:ascii="Tahoma" w:eastAsia="Times New Roman" w:hAnsi="Tahoma" w:cs="Tahoma"/>
          <w:lang w:eastAsia="en-GB"/>
        </w:rPr>
        <w:t xml:space="preserve"> for students</w:t>
      </w:r>
    </w:p>
    <w:p w14:paraId="02669557" w14:textId="4D0DDCE8" w:rsidR="00E937D5" w:rsidRPr="007D210B" w:rsidRDefault="00E937D5" w:rsidP="00E937D5">
      <w:pPr>
        <w:pStyle w:val="ListParagraph"/>
        <w:numPr>
          <w:ilvl w:val="0"/>
          <w:numId w:val="46"/>
        </w:num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lang w:eastAsia="en-GB"/>
        </w:rPr>
        <w:t xml:space="preserve">To keep up to date with employment opportunities and labour </w:t>
      </w:r>
      <w:r w:rsidR="007D210B">
        <w:rPr>
          <w:rFonts w:ascii="Tahoma" w:eastAsia="Times New Roman" w:hAnsi="Tahoma" w:cs="Tahoma"/>
          <w:lang w:eastAsia="en-GB"/>
        </w:rPr>
        <w:t xml:space="preserve">market information </w:t>
      </w:r>
      <w:r>
        <w:rPr>
          <w:rFonts w:ascii="Tahoma" w:eastAsia="Times New Roman" w:hAnsi="Tahoma" w:cs="Tahoma"/>
          <w:lang w:eastAsia="en-GB"/>
        </w:rPr>
        <w:t>and developments to be able to provide relevant information to students</w:t>
      </w:r>
    </w:p>
    <w:p w14:paraId="23DDFEFB" w14:textId="375ED66C" w:rsidR="00E937D5" w:rsidRDefault="00E937D5" w:rsidP="00E937D5">
      <w:pPr>
        <w:shd w:val="clear" w:color="auto" w:fill="FFFFFF"/>
        <w:spacing w:before="100" w:beforeAutospacing="1" w:after="100" w:afterAutospacing="1" w:line="240" w:lineRule="auto"/>
        <w:rPr>
          <w:rFonts w:ascii="Tahoma" w:eastAsia="Times New Roman" w:hAnsi="Tahoma" w:cs="Tahoma"/>
          <w:lang w:eastAsia="en-GB"/>
        </w:rPr>
      </w:pPr>
      <w:r>
        <w:rPr>
          <w:rFonts w:ascii="Tahoma" w:eastAsia="Times New Roman" w:hAnsi="Tahoma" w:cs="Tahoma"/>
          <w:b/>
          <w:sz w:val="24"/>
          <w:szCs w:val="24"/>
          <w:lang w:eastAsia="en-GB"/>
        </w:rPr>
        <w:t>Community Liaison.</w:t>
      </w:r>
      <w:r w:rsidRPr="00E937D5">
        <w:rPr>
          <w:rFonts w:ascii="Tahoma" w:eastAsia="Times New Roman" w:hAnsi="Tahoma" w:cs="Tahoma"/>
          <w:lang w:eastAsia="en-GB"/>
        </w:rPr>
        <w:t xml:space="preserve"> </w:t>
      </w:r>
    </w:p>
    <w:p w14:paraId="6A762C12" w14:textId="0EC937A6" w:rsidR="007D210B" w:rsidRPr="007D210B" w:rsidRDefault="00E937D5" w:rsidP="007D210B">
      <w:pPr>
        <w:pStyle w:val="ListParagraph"/>
        <w:numPr>
          <w:ilvl w:val="0"/>
          <w:numId w:val="48"/>
        </w:numPr>
        <w:shd w:val="clear" w:color="auto" w:fill="FFFFFF"/>
        <w:spacing w:before="100" w:beforeAutospacing="1" w:after="100" w:afterAutospacing="1" w:line="240" w:lineRule="auto"/>
        <w:rPr>
          <w:rFonts w:ascii="Tahoma" w:eastAsia="Times New Roman" w:hAnsi="Tahoma" w:cs="Tahoma"/>
          <w:lang w:eastAsia="en-GB"/>
        </w:rPr>
      </w:pPr>
      <w:r>
        <w:rPr>
          <w:rFonts w:ascii="Tahoma" w:eastAsia="Times New Roman" w:hAnsi="Tahoma" w:cs="Tahoma"/>
          <w:lang w:eastAsia="en-GB"/>
        </w:rPr>
        <w:t>To work closely with a range of local community groups and organisations to identify opportunities for students</w:t>
      </w:r>
      <w:r w:rsidR="007D210B">
        <w:rPr>
          <w:rFonts w:ascii="Tahoma" w:eastAsia="Times New Roman" w:hAnsi="Tahoma" w:cs="Tahoma"/>
          <w:lang w:eastAsia="en-GB"/>
        </w:rPr>
        <w:t xml:space="preserve"> and provide support for them when appropriate</w:t>
      </w:r>
    </w:p>
    <w:p w14:paraId="4C54BF35" w14:textId="35ABA3BE" w:rsidR="00E937D5" w:rsidRDefault="00E937D5" w:rsidP="00E937D5">
      <w:pPr>
        <w:pStyle w:val="ListParagraph"/>
        <w:numPr>
          <w:ilvl w:val="0"/>
          <w:numId w:val="48"/>
        </w:numPr>
        <w:shd w:val="clear" w:color="auto" w:fill="FFFFFF"/>
        <w:spacing w:before="100" w:beforeAutospacing="1" w:after="100" w:afterAutospacing="1" w:line="240" w:lineRule="auto"/>
        <w:rPr>
          <w:rFonts w:ascii="Tahoma" w:eastAsia="Times New Roman" w:hAnsi="Tahoma" w:cs="Tahoma"/>
          <w:lang w:eastAsia="en-GB"/>
        </w:rPr>
      </w:pPr>
      <w:r>
        <w:rPr>
          <w:rFonts w:ascii="Tahoma" w:eastAsia="Times New Roman" w:hAnsi="Tahoma" w:cs="Tahoma"/>
          <w:lang w:eastAsia="en-GB"/>
        </w:rPr>
        <w:t xml:space="preserve">To promote the good name of Jewellery Quarter Academy and </w:t>
      </w:r>
      <w:r w:rsidR="00C913B0">
        <w:rPr>
          <w:rFonts w:ascii="Tahoma" w:eastAsia="Times New Roman" w:hAnsi="Tahoma" w:cs="Tahoma"/>
          <w:lang w:eastAsia="en-GB"/>
        </w:rPr>
        <w:t>work with the local community to uphold this reputation</w:t>
      </w:r>
    </w:p>
    <w:p w14:paraId="14B58080" w14:textId="4F492C11" w:rsidR="00F434AB" w:rsidRPr="00F434AB" w:rsidRDefault="00F434AB" w:rsidP="00F434AB">
      <w:pPr>
        <w:shd w:val="clear" w:color="auto" w:fill="FFFFFF"/>
        <w:spacing w:before="100" w:beforeAutospacing="1" w:after="100" w:afterAutospacing="1" w:line="240" w:lineRule="auto"/>
        <w:rPr>
          <w:rFonts w:ascii="Tahoma" w:eastAsia="Times New Roman" w:hAnsi="Tahoma" w:cs="Tahoma"/>
          <w:b/>
          <w:lang w:eastAsia="en-GB"/>
        </w:rPr>
      </w:pPr>
      <w:r>
        <w:rPr>
          <w:rFonts w:ascii="Tahoma" w:eastAsia="Times New Roman" w:hAnsi="Tahoma" w:cs="Tahoma"/>
          <w:b/>
          <w:lang w:eastAsia="en-GB"/>
        </w:rPr>
        <w:t>This role requires flexibility as there will be times when working outside normal school hours is required</w:t>
      </w:r>
    </w:p>
    <w:p w14:paraId="158D4C46" w14:textId="77777777" w:rsidR="004E5F8C" w:rsidRPr="001A2474" w:rsidRDefault="004E5F8C" w:rsidP="004E5F8C">
      <w:pPr>
        <w:spacing w:after="0" w:line="240" w:lineRule="auto"/>
        <w:contextualSpacing/>
        <w:rPr>
          <w:rFonts w:ascii="Tahoma" w:eastAsia="Calibri" w:hAnsi="Tahoma" w:cs="Tahoma"/>
          <w:lang w:val="en-US"/>
        </w:rPr>
      </w:pPr>
    </w:p>
    <w:p w14:paraId="6AD84777" w14:textId="77777777" w:rsidR="00355B47" w:rsidRPr="001A2474" w:rsidRDefault="00355B47" w:rsidP="00355B47">
      <w:pPr>
        <w:spacing w:after="0" w:line="240" w:lineRule="auto"/>
        <w:jc w:val="center"/>
        <w:rPr>
          <w:rFonts w:ascii="Tahoma" w:hAnsi="Tahoma" w:cs="Tahoma"/>
          <w:i/>
        </w:rPr>
      </w:pPr>
      <w:r w:rsidRPr="001A2474">
        <w:rPr>
          <w:rFonts w:ascii="Tahoma" w:hAnsi="Tahoma" w:cs="Tahoma"/>
          <w:i/>
        </w:rPr>
        <w:t>The above is not exhaustive and maybe amended commensurate with the post holder’s salary and grade as required by the Headteacher</w:t>
      </w:r>
    </w:p>
    <w:p w14:paraId="6B46630F" w14:textId="79566AAF" w:rsidR="002D0685" w:rsidRPr="001A2474" w:rsidRDefault="002D0685" w:rsidP="00B711D8">
      <w:pPr>
        <w:spacing w:after="0" w:line="240" w:lineRule="auto"/>
        <w:rPr>
          <w:rFonts w:ascii="Tahoma" w:hAnsi="Tahoma" w:cs="Tahoma"/>
          <w:b/>
          <w:sz w:val="24"/>
          <w:szCs w:val="24"/>
        </w:rPr>
      </w:pPr>
    </w:p>
    <w:sectPr w:rsidR="002D0685" w:rsidRPr="001A2474" w:rsidSect="001A2474">
      <w:headerReference w:type="default" r:id="rId13"/>
      <w:footerReference w:type="default" r:id="rId14"/>
      <w:pgSz w:w="11906" w:h="16838"/>
      <w:pgMar w:top="1440" w:right="1440" w:bottom="1440" w:left="1440"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8B844" w14:textId="77777777" w:rsidR="000C26E6" w:rsidRDefault="000C26E6" w:rsidP="00B711D8">
      <w:pPr>
        <w:spacing w:after="0" w:line="240" w:lineRule="auto"/>
      </w:pPr>
      <w:r>
        <w:separator/>
      </w:r>
    </w:p>
  </w:endnote>
  <w:endnote w:type="continuationSeparator" w:id="0">
    <w:p w14:paraId="111F8F7D" w14:textId="77777777" w:rsidR="000C26E6" w:rsidRDefault="000C26E6" w:rsidP="00B7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8F61" w14:textId="77777777" w:rsidR="00B711D8" w:rsidRDefault="00B711D8" w:rsidP="00B711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D3CAD" w14:textId="77777777" w:rsidR="000C26E6" w:rsidRDefault="000C26E6" w:rsidP="00B711D8">
      <w:pPr>
        <w:spacing w:after="0" w:line="240" w:lineRule="auto"/>
      </w:pPr>
      <w:r>
        <w:separator/>
      </w:r>
    </w:p>
  </w:footnote>
  <w:footnote w:type="continuationSeparator" w:id="0">
    <w:p w14:paraId="4041A16F" w14:textId="77777777" w:rsidR="000C26E6" w:rsidRDefault="000C26E6" w:rsidP="00B7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9F72" w14:textId="454627AA" w:rsidR="00B711D8" w:rsidRDefault="00100B64" w:rsidP="002B56F6">
    <w:pPr>
      <w:pStyle w:val="Header"/>
      <w:jc w:val="right"/>
    </w:pPr>
    <w:r>
      <w:rPr>
        <w:noProof/>
        <w:lang w:eastAsia="en-GB"/>
      </w:rPr>
      <w:t xml:space="preserve"> </w:t>
    </w:r>
    <w:r>
      <w:rPr>
        <w:noProof/>
        <w:lang w:eastAsia="en-GB"/>
      </w:rPr>
      <w:tab/>
    </w:r>
    <w:r>
      <w:rPr>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BB"/>
    <w:multiLevelType w:val="hybridMultilevel"/>
    <w:tmpl w:val="1E923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063AA8"/>
    <w:multiLevelType w:val="multilevel"/>
    <w:tmpl w:val="FF8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1D95"/>
    <w:multiLevelType w:val="hybridMultilevel"/>
    <w:tmpl w:val="20F84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8956C2C"/>
    <w:multiLevelType w:val="hybridMultilevel"/>
    <w:tmpl w:val="C4B4A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DF79DA"/>
    <w:multiLevelType w:val="hybridMultilevel"/>
    <w:tmpl w:val="DBBC6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662C80"/>
    <w:multiLevelType w:val="hybridMultilevel"/>
    <w:tmpl w:val="A7C0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8752B5"/>
    <w:multiLevelType w:val="hybridMultilevel"/>
    <w:tmpl w:val="2F7C3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7F5DFF"/>
    <w:multiLevelType w:val="hybridMultilevel"/>
    <w:tmpl w:val="9A482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D72905"/>
    <w:multiLevelType w:val="hybridMultilevel"/>
    <w:tmpl w:val="D480D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F46705"/>
    <w:multiLevelType w:val="hybridMultilevel"/>
    <w:tmpl w:val="108E6E3A"/>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4B63155"/>
    <w:multiLevelType w:val="hybridMultilevel"/>
    <w:tmpl w:val="BA32BC8C"/>
    <w:lvl w:ilvl="0" w:tplc="08090001">
      <w:start w:val="1"/>
      <w:numFmt w:val="bullet"/>
      <w:lvlText w:val=""/>
      <w:lvlJc w:val="left"/>
      <w:pPr>
        <w:ind w:left="0" w:hanging="360"/>
      </w:pPr>
      <w:rPr>
        <w:rFonts w:ascii="Symbol" w:hAnsi="Symbol" w:hint="default"/>
      </w:rPr>
    </w:lvl>
    <w:lvl w:ilvl="1" w:tplc="6832DF74">
      <w:numFmt w:val="bullet"/>
      <w:lvlText w:val=""/>
      <w:lvlJc w:val="left"/>
      <w:pPr>
        <w:tabs>
          <w:tab w:val="num" w:pos="720"/>
        </w:tabs>
        <w:ind w:left="720" w:hanging="360"/>
      </w:pPr>
      <w:rPr>
        <w:rFonts w:ascii="Symbol" w:eastAsia="Times New Roman" w:hAnsi="Symbol" w:cs="Aria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1">
    <w:nsid w:val="15133C93"/>
    <w:multiLevelType w:val="hybridMultilevel"/>
    <w:tmpl w:val="2FE8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8B085E"/>
    <w:multiLevelType w:val="hybridMultilevel"/>
    <w:tmpl w:val="416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315A62"/>
    <w:multiLevelType w:val="multilevel"/>
    <w:tmpl w:val="4D10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95122"/>
    <w:multiLevelType w:val="hybridMultilevel"/>
    <w:tmpl w:val="789EB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080C7C"/>
    <w:multiLevelType w:val="hybridMultilevel"/>
    <w:tmpl w:val="2ABA7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D54EF"/>
    <w:multiLevelType w:val="hybridMultilevel"/>
    <w:tmpl w:val="3A288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D0840D6"/>
    <w:multiLevelType w:val="hybridMultilevel"/>
    <w:tmpl w:val="257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750BBE"/>
    <w:multiLevelType w:val="hybridMultilevel"/>
    <w:tmpl w:val="56A21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AF49C5"/>
    <w:multiLevelType w:val="hybridMultilevel"/>
    <w:tmpl w:val="92FEA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3B4EC4"/>
    <w:multiLevelType w:val="hybridMultilevel"/>
    <w:tmpl w:val="F732C9B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94C4A6A"/>
    <w:multiLevelType w:val="hybridMultilevel"/>
    <w:tmpl w:val="D79C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8A5038"/>
    <w:multiLevelType w:val="hybridMultilevel"/>
    <w:tmpl w:val="564898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FD92D0D"/>
    <w:multiLevelType w:val="hybridMultilevel"/>
    <w:tmpl w:val="DFA8EB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D5FFA"/>
    <w:multiLevelType w:val="hybridMultilevel"/>
    <w:tmpl w:val="91AC0C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C347E1"/>
    <w:multiLevelType w:val="hybridMultilevel"/>
    <w:tmpl w:val="AB7C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257051"/>
    <w:multiLevelType w:val="hybridMultilevel"/>
    <w:tmpl w:val="48927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585648"/>
    <w:multiLevelType w:val="hybridMultilevel"/>
    <w:tmpl w:val="979E30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8180A65"/>
    <w:multiLevelType w:val="hybridMultilevel"/>
    <w:tmpl w:val="959C0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9BB3C8D"/>
    <w:multiLevelType w:val="hybridMultilevel"/>
    <w:tmpl w:val="5B2C3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D626E09"/>
    <w:multiLevelType w:val="hybridMultilevel"/>
    <w:tmpl w:val="5B041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34A141E"/>
    <w:multiLevelType w:val="hybridMultilevel"/>
    <w:tmpl w:val="049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805C7C"/>
    <w:multiLevelType w:val="hybridMultilevel"/>
    <w:tmpl w:val="96A0E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5C4F66"/>
    <w:multiLevelType w:val="hybridMultilevel"/>
    <w:tmpl w:val="8388A2A2"/>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612E64B3"/>
    <w:multiLevelType w:val="hybridMultilevel"/>
    <w:tmpl w:val="B9B84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1C80179"/>
    <w:multiLevelType w:val="hybridMultilevel"/>
    <w:tmpl w:val="5B72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594CC7"/>
    <w:multiLevelType w:val="hybridMultilevel"/>
    <w:tmpl w:val="65422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408617A"/>
    <w:multiLevelType w:val="hybridMultilevel"/>
    <w:tmpl w:val="9BAC9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6D969A2"/>
    <w:multiLevelType w:val="hybridMultilevel"/>
    <w:tmpl w:val="90DA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8F3720"/>
    <w:multiLevelType w:val="hybridMultilevel"/>
    <w:tmpl w:val="04E2B8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nsid w:val="67FE4A36"/>
    <w:multiLevelType w:val="hybridMultilevel"/>
    <w:tmpl w:val="8820B3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3706A9"/>
    <w:multiLevelType w:val="hybridMultilevel"/>
    <w:tmpl w:val="5B6E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817CFE"/>
    <w:multiLevelType w:val="hybridMultilevel"/>
    <w:tmpl w:val="E91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72564A"/>
    <w:multiLevelType w:val="hybridMultilevel"/>
    <w:tmpl w:val="14FA10E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98D799E"/>
    <w:multiLevelType w:val="hybridMultilevel"/>
    <w:tmpl w:val="B01A6A14"/>
    <w:lvl w:ilvl="0" w:tplc="6832DF74">
      <w:numFmt w:val="bullet"/>
      <w:lvlText w:val=""/>
      <w:lvlJc w:val="left"/>
      <w:pPr>
        <w:tabs>
          <w:tab w:val="num" w:pos="1440"/>
        </w:tabs>
        <w:ind w:left="1440" w:hanging="360"/>
      </w:pPr>
      <w:rPr>
        <w:rFonts w:ascii="Symbol" w:eastAsia="Times New Roman" w:hAnsi="Symbo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5">
    <w:nsid w:val="7CC26935"/>
    <w:multiLevelType w:val="hybridMultilevel"/>
    <w:tmpl w:val="DC8A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B56A43"/>
    <w:multiLevelType w:val="hybridMultilevel"/>
    <w:tmpl w:val="D87C8E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E3F0456"/>
    <w:multiLevelType w:val="hybridMultilevel"/>
    <w:tmpl w:val="3070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46"/>
  </w:num>
  <w:num w:numId="4">
    <w:abstractNumId w:val="16"/>
  </w:num>
  <w:num w:numId="5">
    <w:abstractNumId w:val="4"/>
  </w:num>
  <w:num w:numId="6">
    <w:abstractNumId w:val="0"/>
  </w:num>
  <w:num w:numId="7">
    <w:abstractNumId w:val="30"/>
  </w:num>
  <w:num w:numId="8">
    <w:abstractNumId w:val="37"/>
  </w:num>
  <w:num w:numId="9">
    <w:abstractNumId w:val="3"/>
  </w:num>
  <w:num w:numId="10">
    <w:abstractNumId w:val="34"/>
  </w:num>
  <w:num w:numId="11">
    <w:abstractNumId w:val="23"/>
  </w:num>
  <w:num w:numId="12">
    <w:abstractNumId w:val="43"/>
  </w:num>
  <w:num w:numId="13">
    <w:abstractNumId w:val="20"/>
  </w:num>
  <w:num w:numId="14">
    <w:abstractNumId w:val="40"/>
  </w:num>
  <w:num w:numId="15">
    <w:abstractNumId w:val="27"/>
  </w:num>
  <w:num w:numId="16">
    <w:abstractNumId w:val="32"/>
  </w:num>
  <w:num w:numId="17">
    <w:abstractNumId w:val="2"/>
  </w:num>
  <w:num w:numId="18">
    <w:abstractNumId w:val="35"/>
  </w:num>
  <w:num w:numId="19">
    <w:abstractNumId w:val="17"/>
  </w:num>
  <w:num w:numId="20">
    <w:abstractNumId w:val="38"/>
  </w:num>
  <w:num w:numId="21">
    <w:abstractNumId w:val="31"/>
  </w:num>
  <w:num w:numId="22">
    <w:abstractNumId w:val="19"/>
  </w:num>
  <w:num w:numId="23">
    <w:abstractNumId w:val="45"/>
  </w:num>
  <w:num w:numId="24">
    <w:abstractNumId w:val="26"/>
  </w:num>
  <w:num w:numId="25">
    <w:abstractNumId w:val="42"/>
  </w:num>
  <w:num w:numId="26">
    <w:abstractNumId w:val="15"/>
  </w:num>
  <w:num w:numId="27">
    <w:abstractNumId w:val="10"/>
  </w:num>
  <w:num w:numId="28">
    <w:abstractNumId w:val="44"/>
  </w:num>
  <w:num w:numId="29">
    <w:abstractNumId w:val="9"/>
  </w:num>
  <w:num w:numId="30">
    <w:abstractNumId w:val="33"/>
  </w:num>
  <w:num w:numId="31">
    <w:abstractNumId w:val="36"/>
  </w:num>
  <w:num w:numId="32">
    <w:abstractNumId w:val="39"/>
  </w:num>
  <w:num w:numId="33">
    <w:abstractNumId w:val="29"/>
  </w:num>
  <w:num w:numId="34">
    <w:abstractNumId w:val="11"/>
  </w:num>
  <w:num w:numId="35">
    <w:abstractNumId w:val="25"/>
  </w:num>
  <w:num w:numId="36">
    <w:abstractNumId w:val="21"/>
  </w:num>
  <w:num w:numId="37">
    <w:abstractNumId w:val="18"/>
  </w:num>
  <w:num w:numId="38">
    <w:abstractNumId w:val="47"/>
  </w:num>
  <w:num w:numId="39">
    <w:abstractNumId w:val="1"/>
  </w:num>
  <w:num w:numId="40">
    <w:abstractNumId w:val="13"/>
  </w:num>
  <w:num w:numId="41">
    <w:abstractNumId w:val="28"/>
  </w:num>
  <w:num w:numId="42">
    <w:abstractNumId w:val="6"/>
  </w:num>
  <w:num w:numId="43">
    <w:abstractNumId w:val="8"/>
  </w:num>
  <w:num w:numId="44">
    <w:abstractNumId w:val="14"/>
  </w:num>
  <w:num w:numId="45">
    <w:abstractNumId w:val="7"/>
  </w:num>
  <w:num w:numId="46">
    <w:abstractNumId w:val="5"/>
  </w:num>
  <w:num w:numId="47">
    <w:abstractNumId w:val="1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D8"/>
    <w:rsid w:val="000232D9"/>
    <w:rsid w:val="00026BD4"/>
    <w:rsid w:val="00031503"/>
    <w:rsid w:val="00037600"/>
    <w:rsid w:val="0005285C"/>
    <w:rsid w:val="000B118E"/>
    <w:rsid w:val="000B77FB"/>
    <w:rsid w:val="000C26E6"/>
    <w:rsid w:val="000E39B8"/>
    <w:rsid w:val="00100B64"/>
    <w:rsid w:val="00127394"/>
    <w:rsid w:val="001A2474"/>
    <w:rsid w:val="001C4D7C"/>
    <w:rsid w:val="001E7A49"/>
    <w:rsid w:val="001F7988"/>
    <w:rsid w:val="0020523C"/>
    <w:rsid w:val="0021194E"/>
    <w:rsid w:val="00231F08"/>
    <w:rsid w:val="00265128"/>
    <w:rsid w:val="002651B0"/>
    <w:rsid w:val="00282028"/>
    <w:rsid w:val="002A2F85"/>
    <w:rsid w:val="002B2EB6"/>
    <w:rsid w:val="002B56F6"/>
    <w:rsid w:val="002D0685"/>
    <w:rsid w:val="002D4438"/>
    <w:rsid w:val="002F48E0"/>
    <w:rsid w:val="002F608B"/>
    <w:rsid w:val="003032CC"/>
    <w:rsid w:val="00355B47"/>
    <w:rsid w:val="00357012"/>
    <w:rsid w:val="00386267"/>
    <w:rsid w:val="003869FD"/>
    <w:rsid w:val="00391B22"/>
    <w:rsid w:val="004149F3"/>
    <w:rsid w:val="00420B1E"/>
    <w:rsid w:val="00426E77"/>
    <w:rsid w:val="004559E5"/>
    <w:rsid w:val="0045710E"/>
    <w:rsid w:val="00465AAE"/>
    <w:rsid w:val="00481E72"/>
    <w:rsid w:val="004847AA"/>
    <w:rsid w:val="00485017"/>
    <w:rsid w:val="00493E9A"/>
    <w:rsid w:val="004C54D5"/>
    <w:rsid w:val="004E5F8C"/>
    <w:rsid w:val="004F2A81"/>
    <w:rsid w:val="0050560B"/>
    <w:rsid w:val="00510FCE"/>
    <w:rsid w:val="00547C1A"/>
    <w:rsid w:val="00556395"/>
    <w:rsid w:val="005E0251"/>
    <w:rsid w:val="005E05A9"/>
    <w:rsid w:val="005F4128"/>
    <w:rsid w:val="006022FA"/>
    <w:rsid w:val="006562EB"/>
    <w:rsid w:val="0066259B"/>
    <w:rsid w:val="00676F9F"/>
    <w:rsid w:val="006B206C"/>
    <w:rsid w:val="0070461C"/>
    <w:rsid w:val="007214A0"/>
    <w:rsid w:val="007516F1"/>
    <w:rsid w:val="0075538D"/>
    <w:rsid w:val="00766B49"/>
    <w:rsid w:val="00797184"/>
    <w:rsid w:val="007A06C4"/>
    <w:rsid w:val="007C6ACA"/>
    <w:rsid w:val="007D210B"/>
    <w:rsid w:val="00807957"/>
    <w:rsid w:val="0082432D"/>
    <w:rsid w:val="008303DA"/>
    <w:rsid w:val="008718B5"/>
    <w:rsid w:val="0089430D"/>
    <w:rsid w:val="008A143C"/>
    <w:rsid w:val="008F1170"/>
    <w:rsid w:val="009040FB"/>
    <w:rsid w:val="00904BC7"/>
    <w:rsid w:val="00923358"/>
    <w:rsid w:val="009247F9"/>
    <w:rsid w:val="00941799"/>
    <w:rsid w:val="00944763"/>
    <w:rsid w:val="009D1E50"/>
    <w:rsid w:val="009D2EE2"/>
    <w:rsid w:val="009F6EC1"/>
    <w:rsid w:val="00A477DA"/>
    <w:rsid w:val="00A506C3"/>
    <w:rsid w:val="00A537AF"/>
    <w:rsid w:val="00A56F1C"/>
    <w:rsid w:val="00A70377"/>
    <w:rsid w:val="00A752DB"/>
    <w:rsid w:val="00A85889"/>
    <w:rsid w:val="00A86D54"/>
    <w:rsid w:val="00A874C7"/>
    <w:rsid w:val="00A950C7"/>
    <w:rsid w:val="00AA2C6A"/>
    <w:rsid w:val="00AD1817"/>
    <w:rsid w:val="00B20CE6"/>
    <w:rsid w:val="00B37D06"/>
    <w:rsid w:val="00B6269A"/>
    <w:rsid w:val="00B62BFD"/>
    <w:rsid w:val="00B711D8"/>
    <w:rsid w:val="00BF4BFE"/>
    <w:rsid w:val="00BF64B6"/>
    <w:rsid w:val="00C21F46"/>
    <w:rsid w:val="00C3749C"/>
    <w:rsid w:val="00C57349"/>
    <w:rsid w:val="00C913B0"/>
    <w:rsid w:val="00CC14C1"/>
    <w:rsid w:val="00CF0457"/>
    <w:rsid w:val="00CF6500"/>
    <w:rsid w:val="00D16BD5"/>
    <w:rsid w:val="00D22B24"/>
    <w:rsid w:val="00D2365D"/>
    <w:rsid w:val="00D27E79"/>
    <w:rsid w:val="00D337C3"/>
    <w:rsid w:val="00D47313"/>
    <w:rsid w:val="00D8044F"/>
    <w:rsid w:val="00D81B2E"/>
    <w:rsid w:val="00DA33CD"/>
    <w:rsid w:val="00DB2586"/>
    <w:rsid w:val="00DF5040"/>
    <w:rsid w:val="00DF6CC8"/>
    <w:rsid w:val="00E06FCC"/>
    <w:rsid w:val="00E120AD"/>
    <w:rsid w:val="00E32D56"/>
    <w:rsid w:val="00E43CC8"/>
    <w:rsid w:val="00E527E4"/>
    <w:rsid w:val="00E63372"/>
    <w:rsid w:val="00E73136"/>
    <w:rsid w:val="00E84A6E"/>
    <w:rsid w:val="00E937D5"/>
    <w:rsid w:val="00EA5B83"/>
    <w:rsid w:val="00EB3165"/>
    <w:rsid w:val="00EC1D70"/>
    <w:rsid w:val="00F01C48"/>
    <w:rsid w:val="00F434AB"/>
    <w:rsid w:val="00F55A85"/>
    <w:rsid w:val="00F96ED2"/>
    <w:rsid w:val="00FB57CC"/>
    <w:rsid w:val="00FB661C"/>
    <w:rsid w:val="00FC3144"/>
    <w:rsid w:val="00FE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5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6E7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A24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24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6E7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A24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2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8129">
      <w:bodyDiv w:val="1"/>
      <w:marLeft w:val="0"/>
      <w:marRight w:val="0"/>
      <w:marTop w:val="0"/>
      <w:marBottom w:val="0"/>
      <w:divBdr>
        <w:top w:val="none" w:sz="0" w:space="0" w:color="auto"/>
        <w:left w:val="none" w:sz="0" w:space="0" w:color="auto"/>
        <w:bottom w:val="none" w:sz="0" w:space="0" w:color="auto"/>
        <w:right w:val="none" w:sz="0" w:space="0" w:color="auto"/>
      </w:divBdr>
    </w:div>
    <w:div w:id="1136332252">
      <w:bodyDiv w:val="1"/>
      <w:marLeft w:val="0"/>
      <w:marRight w:val="0"/>
      <w:marTop w:val="0"/>
      <w:marBottom w:val="0"/>
      <w:divBdr>
        <w:top w:val="none" w:sz="0" w:space="0" w:color="auto"/>
        <w:left w:val="none" w:sz="0" w:space="0" w:color="auto"/>
        <w:bottom w:val="none" w:sz="0" w:space="0" w:color="auto"/>
        <w:right w:val="none" w:sz="0" w:space="0" w:color="auto"/>
      </w:divBdr>
    </w:div>
    <w:div w:id="12326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6b93155490e8a7ccb09574c859a4ab68">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169207dc4dba51b4cd82274ccba253d0"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3AFF-30D3-457F-A980-9B70B9213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45B1B-E5E0-4849-BB10-8D845DC40B8D}"/>
</file>

<file path=customXml/itemProps3.xml><?xml version="1.0" encoding="utf-8"?>
<ds:datastoreItem xmlns:ds="http://schemas.openxmlformats.org/officeDocument/2006/customXml" ds:itemID="{7A687C37-CC91-4FD8-B46A-4D761F35D65D}">
  <ds:schemaRefs>
    <ds:schemaRef ds:uri="http://schemas.microsoft.com/sharepoint/v3/contenttype/forms"/>
  </ds:schemaRefs>
</ds:datastoreItem>
</file>

<file path=customXml/itemProps4.xml><?xml version="1.0" encoding="utf-8"?>
<ds:datastoreItem xmlns:ds="http://schemas.openxmlformats.org/officeDocument/2006/customXml" ds:itemID="{76EA1F08-030E-4445-9498-273C25E0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Foster</dc:creator>
  <cp:lastModifiedBy>Steven Moore</cp:lastModifiedBy>
  <cp:revision>4</cp:revision>
  <cp:lastPrinted>2018-03-06T07:34:00Z</cp:lastPrinted>
  <dcterms:created xsi:type="dcterms:W3CDTF">2019-02-11T06:50:00Z</dcterms:created>
  <dcterms:modified xsi:type="dcterms:W3CDTF">2019-02-12T12:48:00Z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