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088"/>
        <w:gridCol w:w="7131"/>
      </w:tblGrid>
      <w:tr w:rsidR="0014005A" w:rsidRPr="0014005A" w:rsidTr="0014005A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05A" w:rsidRDefault="0014005A" w:rsidP="00564D76">
            <w:pPr>
              <w:snapToGrid w:val="0"/>
              <w:spacing w:after="0"/>
              <w:rPr>
                <w:sz w:val="22"/>
                <w:szCs w:val="22"/>
              </w:rPr>
            </w:pPr>
            <w:bookmarkStart w:id="0" w:name="_GoBack"/>
            <w:bookmarkEnd w:id="0"/>
            <w:r w:rsidRPr="0014005A">
              <w:rPr>
                <w:sz w:val="22"/>
                <w:szCs w:val="22"/>
              </w:rPr>
              <w:tab/>
            </w:r>
          </w:p>
          <w:p w:rsidR="00564D76" w:rsidRPr="0014005A" w:rsidRDefault="00564D76" w:rsidP="00564D76">
            <w:pPr>
              <w:snapToGri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</w:t>
            </w:r>
          </w:p>
        </w:tc>
        <w:tc>
          <w:tcPr>
            <w:tcW w:w="7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6" w:rsidRDefault="00564D76" w:rsidP="00564D76">
            <w:pPr>
              <w:snapToGrid w:val="0"/>
              <w:spacing w:after="0"/>
              <w:rPr>
                <w:b/>
                <w:bCs/>
                <w:sz w:val="22"/>
                <w:szCs w:val="22"/>
              </w:rPr>
            </w:pPr>
          </w:p>
          <w:p w:rsidR="0014005A" w:rsidRDefault="0014005A" w:rsidP="00564D76">
            <w:pPr>
              <w:snapToGrid w:val="0"/>
              <w:spacing w:after="0"/>
              <w:rPr>
                <w:b/>
                <w:bCs/>
                <w:sz w:val="22"/>
                <w:szCs w:val="22"/>
              </w:rPr>
            </w:pPr>
            <w:r w:rsidRPr="0014005A">
              <w:rPr>
                <w:b/>
                <w:bCs/>
                <w:sz w:val="22"/>
                <w:szCs w:val="22"/>
              </w:rPr>
              <w:t>Graduate Learning Assistants</w:t>
            </w:r>
            <w:r w:rsidR="00DC28F1">
              <w:rPr>
                <w:b/>
                <w:bCs/>
                <w:sz w:val="22"/>
                <w:szCs w:val="22"/>
              </w:rPr>
              <w:t xml:space="preserve"> (GLA)</w:t>
            </w:r>
          </w:p>
          <w:p w:rsidR="00564D76" w:rsidRPr="00564D76" w:rsidRDefault="00564D76" w:rsidP="00564D76">
            <w:pPr>
              <w:snapToGrid w:val="0"/>
              <w:spacing w:after="0"/>
              <w:rPr>
                <w:b/>
                <w:bCs/>
                <w:sz w:val="8"/>
                <w:szCs w:val="8"/>
              </w:rPr>
            </w:pPr>
          </w:p>
          <w:p w:rsidR="0014005A" w:rsidRDefault="0014005A" w:rsidP="00564D76">
            <w:pPr>
              <w:snapToGrid w:val="0"/>
              <w:spacing w:after="0"/>
              <w:rPr>
                <w:b/>
                <w:bCs/>
                <w:sz w:val="22"/>
                <w:szCs w:val="22"/>
              </w:rPr>
            </w:pPr>
            <w:r w:rsidRPr="0014005A">
              <w:rPr>
                <w:b/>
                <w:bCs/>
                <w:sz w:val="22"/>
                <w:szCs w:val="22"/>
              </w:rPr>
              <w:t>Supporting students with statements and specific learning</w:t>
            </w:r>
            <w:r>
              <w:rPr>
                <w:b/>
                <w:bCs/>
                <w:sz w:val="22"/>
                <w:szCs w:val="22"/>
              </w:rPr>
              <w:t xml:space="preserve"> and/or language </w:t>
            </w:r>
            <w:r w:rsidRPr="0014005A">
              <w:rPr>
                <w:b/>
                <w:bCs/>
                <w:sz w:val="22"/>
                <w:szCs w:val="22"/>
              </w:rPr>
              <w:t xml:space="preserve"> needs, supporting on a one to one, small group or class basis</w:t>
            </w:r>
          </w:p>
          <w:p w:rsidR="00564D76" w:rsidRPr="0014005A" w:rsidRDefault="00564D76" w:rsidP="00564D76">
            <w:pPr>
              <w:snapToGrid w:val="0"/>
              <w:spacing w:after="0"/>
              <w:rPr>
                <w:b/>
                <w:bCs/>
                <w:sz w:val="22"/>
                <w:szCs w:val="22"/>
              </w:rPr>
            </w:pPr>
          </w:p>
        </w:tc>
      </w:tr>
      <w:tr w:rsidR="0014005A" w:rsidRPr="0014005A" w:rsidTr="0014005A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05A" w:rsidRPr="00564D76" w:rsidRDefault="0014005A" w:rsidP="004D5F00">
            <w:pPr>
              <w:snapToGrid w:val="0"/>
              <w:rPr>
                <w:bCs/>
                <w:sz w:val="22"/>
                <w:szCs w:val="22"/>
              </w:rPr>
            </w:pPr>
            <w:r w:rsidRPr="00564D76">
              <w:rPr>
                <w:bCs/>
                <w:sz w:val="22"/>
                <w:szCs w:val="22"/>
              </w:rPr>
              <w:t>Grade</w:t>
            </w:r>
          </w:p>
        </w:tc>
        <w:tc>
          <w:tcPr>
            <w:tcW w:w="7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05A" w:rsidRPr="0014005A" w:rsidRDefault="00B77CA3" w:rsidP="004D5F00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TSAT Grades C/D</w:t>
            </w:r>
          </w:p>
          <w:p w:rsidR="00564D76" w:rsidRDefault="00564D76" w:rsidP="004D5F00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</w:t>
            </w:r>
            <w:r w:rsidR="00CE44B5">
              <w:rPr>
                <w:b/>
                <w:bCs/>
                <w:sz w:val="22"/>
                <w:szCs w:val="22"/>
              </w:rPr>
              <w:t>.5</w:t>
            </w:r>
            <w:r>
              <w:rPr>
                <w:b/>
                <w:bCs/>
                <w:sz w:val="22"/>
                <w:szCs w:val="22"/>
              </w:rPr>
              <w:t xml:space="preserve"> hours per week</w:t>
            </w:r>
          </w:p>
          <w:p w:rsidR="0014005A" w:rsidRPr="0014005A" w:rsidRDefault="00564D76" w:rsidP="004D5F00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Term t</w:t>
            </w:r>
            <w:r w:rsidR="0014005A" w:rsidRPr="0014005A">
              <w:rPr>
                <w:b/>
                <w:bCs/>
                <w:sz w:val="22"/>
                <w:szCs w:val="22"/>
              </w:rPr>
              <w:t>ime plus 5 days</w:t>
            </w:r>
          </w:p>
        </w:tc>
      </w:tr>
      <w:tr w:rsidR="0014005A" w:rsidRPr="0014005A" w:rsidTr="0014005A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D76" w:rsidRPr="00564D76" w:rsidRDefault="00564D76" w:rsidP="004D5F00">
            <w:pPr>
              <w:snapToGrid w:val="0"/>
              <w:rPr>
                <w:bCs/>
                <w:sz w:val="22"/>
                <w:szCs w:val="22"/>
              </w:rPr>
            </w:pPr>
          </w:p>
          <w:p w:rsidR="0014005A" w:rsidRPr="00564D76" w:rsidRDefault="0014005A" w:rsidP="004D5F00">
            <w:pPr>
              <w:snapToGrid w:val="0"/>
              <w:rPr>
                <w:bCs/>
                <w:sz w:val="22"/>
                <w:szCs w:val="22"/>
              </w:rPr>
            </w:pPr>
            <w:r w:rsidRPr="00564D76">
              <w:rPr>
                <w:bCs/>
                <w:sz w:val="22"/>
                <w:szCs w:val="22"/>
              </w:rPr>
              <w:t>Accountable to</w:t>
            </w:r>
          </w:p>
        </w:tc>
        <w:tc>
          <w:tcPr>
            <w:tcW w:w="7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6" w:rsidRDefault="00564D76" w:rsidP="0014005A">
            <w:pPr>
              <w:snapToGrid w:val="0"/>
              <w:rPr>
                <w:b/>
                <w:bCs/>
                <w:sz w:val="22"/>
                <w:szCs w:val="22"/>
              </w:rPr>
            </w:pPr>
          </w:p>
          <w:p w:rsidR="0014005A" w:rsidRPr="0014005A" w:rsidRDefault="00DC28F1" w:rsidP="00DC28F1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SENCO</w:t>
            </w:r>
          </w:p>
        </w:tc>
      </w:tr>
      <w:tr w:rsidR="0014005A" w:rsidRPr="0014005A" w:rsidTr="0014005A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D76" w:rsidRPr="00564D76" w:rsidRDefault="00564D76" w:rsidP="00564D76">
            <w:pPr>
              <w:snapToGrid w:val="0"/>
              <w:spacing w:after="0"/>
              <w:rPr>
                <w:bCs/>
                <w:sz w:val="22"/>
                <w:szCs w:val="22"/>
              </w:rPr>
            </w:pPr>
          </w:p>
          <w:p w:rsidR="0014005A" w:rsidRPr="00564D76" w:rsidRDefault="0014005A" w:rsidP="00564D76">
            <w:pPr>
              <w:snapToGrid w:val="0"/>
              <w:spacing w:after="0"/>
              <w:rPr>
                <w:bCs/>
                <w:sz w:val="22"/>
                <w:szCs w:val="22"/>
              </w:rPr>
            </w:pPr>
            <w:r w:rsidRPr="00564D76">
              <w:rPr>
                <w:bCs/>
                <w:sz w:val="22"/>
                <w:szCs w:val="22"/>
              </w:rPr>
              <w:t>Accountable for</w:t>
            </w:r>
          </w:p>
        </w:tc>
        <w:tc>
          <w:tcPr>
            <w:tcW w:w="7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76" w:rsidRDefault="00564D76" w:rsidP="00564D76">
            <w:pPr>
              <w:pStyle w:val="ListParagraph"/>
              <w:snapToGrid w:val="0"/>
              <w:spacing w:after="0"/>
              <w:ind w:left="0"/>
              <w:rPr>
                <w:sz w:val="22"/>
                <w:szCs w:val="22"/>
              </w:rPr>
            </w:pPr>
          </w:p>
          <w:p w:rsidR="0014005A" w:rsidRPr="003C1313" w:rsidRDefault="0014005A" w:rsidP="00564D76">
            <w:pPr>
              <w:pStyle w:val="ListParagraph"/>
              <w:numPr>
                <w:ilvl w:val="0"/>
                <w:numId w:val="5"/>
              </w:numPr>
              <w:snapToGrid w:val="0"/>
              <w:spacing w:after="0"/>
              <w:ind w:left="219" w:hanging="219"/>
              <w:rPr>
                <w:sz w:val="22"/>
                <w:szCs w:val="22"/>
              </w:rPr>
            </w:pPr>
            <w:r w:rsidRPr="003C1313">
              <w:rPr>
                <w:sz w:val="22"/>
                <w:szCs w:val="22"/>
              </w:rPr>
              <w:t>Supporting designated colleagues in the preparation and presentation of learning resources of both academic and pastoral nature.</w:t>
            </w:r>
          </w:p>
          <w:p w:rsidR="0014005A" w:rsidRPr="003C1313" w:rsidRDefault="0014005A" w:rsidP="00564D76">
            <w:pPr>
              <w:pStyle w:val="ListParagraph"/>
              <w:numPr>
                <w:ilvl w:val="0"/>
                <w:numId w:val="5"/>
              </w:numPr>
              <w:snapToGrid w:val="0"/>
              <w:spacing w:after="0"/>
              <w:ind w:left="219" w:hanging="219"/>
              <w:rPr>
                <w:sz w:val="22"/>
                <w:szCs w:val="22"/>
              </w:rPr>
            </w:pPr>
            <w:r w:rsidRPr="003C1313">
              <w:rPr>
                <w:sz w:val="22"/>
                <w:szCs w:val="22"/>
              </w:rPr>
              <w:t>Supporting the learning of individuals and groups of students in both learning and pastoral activity.</w:t>
            </w:r>
          </w:p>
          <w:p w:rsidR="0014005A" w:rsidRPr="003C1313" w:rsidRDefault="0014005A" w:rsidP="00564D76">
            <w:pPr>
              <w:pStyle w:val="ListParagraph"/>
              <w:numPr>
                <w:ilvl w:val="0"/>
                <w:numId w:val="5"/>
              </w:numPr>
              <w:snapToGrid w:val="0"/>
              <w:spacing w:after="0"/>
              <w:ind w:left="219" w:hanging="219"/>
              <w:rPr>
                <w:sz w:val="22"/>
                <w:szCs w:val="22"/>
              </w:rPr>
            </w:pPr>
            <w:r w:rsidRPr="003C1313">
              <w:rPr>
                <w:sz w:val="22"/>
                <w:szCs w:val="22"/>
              </w:rPr>
              <w:t xml:space="preserve">Promoting and supporting the emotional literacy and academic development of students as guided by line-managers. </w:t>
            </w:r>
          </w:p>
          <w:p w:rsidR="00CE44B5" w:rsidRPr="0014005A" w:rsidRDefault="00CE44B5" w:rsidP="00564D76">
            <w:pPr>
              <w:snapToGrid w:val="0"/>
              <w:spacing w:after="0"/>
              <w:rPr>
                <w:b/>
                <w:sz w:val="22"/>
                <w:szCs w:val="22"/>
              </w:rPr>
            </w:pPr>
          </w:p>
        </w:tc>
      </w:tr>
      <w:tr w:rsidR="0014005A" w:rsidRPr="0014005A" w:rsidTr="0014005A">
        <w:trPr>
          <w:trHeight w:val="423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13" w:rsidRPr="00564D76" w:rsidRDefault="003C1313" w:rsidP="004D5F00">
            <w:pPr>
              <w:snapToGrid w:val="0"/>
              <w:spacing w:after="0" w:line="240" w:lineRule="auto"/>
              <w:rPr>
                <w:bCs/>
                <w:sz w:val="22"/>
                <w:szCs w:val="22"/>
              </w:rPr>
            </w:pPr>
          </w:p>
          <w:p w:rsidR="0014005A" w:rsidRPr="00564D76" w:rsidRDefault="0014005A" w:rsidP="004D5F00">
            <w:pPr>
              <w:snapToGrid w:val="0"/>
              <w:spacing w:after="0" w:line="240" w:lineRule="auto"/>
              <w:rPr>
                <w:bCs/>
                <w:sz w:val="22"/>
                <w:szCs w:val="22"/>
              </w:rPr>
            </w:pPr>
            <w:r w:rsidRPr="00564D76">
              <w:rPr>
                <w:bCs/>
                <w:sz w:val="22"/>
                <w:szCs w:val="22"/>
              </w:rPr>
              <w:t>Key Responsibilities</w:t>
            </w:r>
          </w:p>
          <w:p w:rsidR="0014005A" w:rsidRPr="00564D76" w:rsidRDefault="0014005A" w:rsidP="004D5F00">
            <w:pPr>
              <w:rPr>
                <w:bCs/>
                <w:sz w:val="22"/>
                <w:szCs w:val="22"/>
              </w:rPr>
            </w:pPr>
          </w:p>
        </w:tc>
        <w:tc>
          <w:tcPr>
            <w:tcW w:w="7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B5" w:rsidRDefault="00CE44B5" w:rsidP="00CE44B5">
            <w:pPr>
              <w:suppressAutoHyphens/>
              <w:snapToGrid w:val="0"/>
              <w:spacing w:after="0" w:line="240" w:lineRule="auto"/>
              <w:ind w:left="360"/>
              <w:rPr>
                <w:sz w:val="22"/>
                <w:szCs w:val="22"/>
              </w:rPr>
            </w:pPr>
          </w:p>
          <w:p w:rsidR="0014005A" w:rsidRPr="0014005A" w:rsidRDefault="0014005A" w:rsidP="0014005A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14005A">
              <w:rPr>
                <w:sz w:val="22"/>
                <w:szCs w:val="22"/>
              </w:rPr>
              <w:t>To follow the direction of designated line-managers in the preparation of materials to support learning and emotional literacy.</w:t>
            </w:r>
          </w:p>
          <w:p w:rsidR="0014005A" w:rsidRPr="0014005A" w:rsidRDefault="0014005A" w:rsidP="0014005A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14005A">
              <w:rPr>
                <w:sz w:val="22"/>
                <w:szCs w:val="22"/>
              </w:rPr>
              <w:t xml:space="preserve">To work, as directed, with individuals or groups of students </w:t>
            </w:r>
          </w:p>
          <w:p w:rsidR="0014005A" w:rsidRPr="0014005A" w:rsidRDefault="0014005A" w:rsidP="0014005A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14005A">
              <w:rPr>
                <w:sz w:val="22"/>
                <w:szCs w:val="22"/>
              </w:rPr>
              <w:t>To assist in the promotion of high standards of behaviour and conduct within the Academy and to provide support for all colleagues through enactment of Academy policy and procedure.</w:t>
            </w:r>
          </w:p>
          <w:p w:rsidR="0014005A" w:rsidRPr="0014005A" w:rsidRDefault="0014005A" w:rsidP="0014005A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sz w:val="22"/>
                <w:szCs w:val="22"/>
              </w:rPr>
            </w:pPr>
            <w:r w:rsidRPr="0014005A">
              <w:rPr>
                <w:color w:val="000000"/>
                <w:sz w:val="22"/>
                <w:szCs w:val="22"/>
              </w:rPr>
              <w:t>Contribute to raising standards, providing literacy and numeracy support.</w:t>
            </w:r>
          </w:p>
          <w:p w:rsidR="0014005A" w:rsidRPr="0014005A" w:rsidRDefault="0014005A" w:rsidP="0014005A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14005A">
              <w:rPr>
                <w:sz w:val="22"/>
                <w:szCs w:val="22"/>
              </w:rPr>
              <w:t>To support colleagues and students, as directed and guided by line-managers, in all aspects of learning, personal development and emotional literacy both within classrooms and in other defined learning environments.</w:t>
            </w:r>
            <w:r w:rsidRPr="0014005A">
              <w:rPr>
                <w:color w:val="000000"/>
                <w:sz w:val="22"/>
                <w:szCs w:val="22"/>
              </w:rPr>
              <w:t xml:space="preserve"> </w:t>
            </w:r>
          </w:p>
          <w:p w:rsidR="0014005A" w:rsidRPr="0014005A" w:rsidRDefault="0014005A" w:rsidP="0014005A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14005A">
              <w:rPr>
                <w:color w:val="000000"/>
                <w:sz w:val="22"/>
                <w:szCs w:val="22"/>
              </w:rPr>
              <w:t xml:space="preserve">Supervise students during student break/lunchtimes, etc.  </w:t>
            </w:r>
          </w:p>
          <w:p w:rsidR="0014005A" w:rsidRPr="0014005A" w:rsidRDefault="0014005A" w:rsidP="0014005A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sz w:val="22"/>
                <w:szCs w:val="22"/>
              </w:rPr>
            </w:pPr>
            <w:r w:rsidRPr="0014005A">
              <w:rPr>
                <w:sz w:val="22"/>
                <w:szCs w:val="22"/>
              </w:rPr>
              <w:t>To assist in monitoring the progress of all individuals within the School through following Academy policy and procedure.</w:t>
            </w:r>
          </w:p>
          <w:p w:rsidR="0014005A" w:rsidRPr="0014005A" w:rsidRDefault="0014005A" w:rsidP="0014005A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sz w:val="22"/>
                <w:szCs w:val="22"/>
              </w:rPr>
            </w:pPr>
            <w:r w:rsidRPr="0014005A">
              <w:rPr>
                <w:sz w:val="22"/>
                <w:szCs w:val="22"/>
              </w:rPr>
              <w:t xml:space="preserve">To assist in the development and maintenance of good relationships with parents.     </w:t>
            </w:r>
          </w:p>
          <w:p w:rsidR="0014005A" w:rsidRPr="0014005A" w:rsidRDefault="0014005A" w:rsidP="0014005A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sz w:val="22"/>
                <w:szCs w:val="22"/>
              </w:rPr>
            </w:pPr>
            <w:r w:rsidRPr="0014005A">
              <w:rPr>
                <w:sz w:val="22"/>
                <w:szCs w:val="22"/>
              </w:rPr>
              <w:t xml:space="preserve">To be fully involved with all special activities related to the School              </w:t>
            </w:r>
          </w:p>
          <w:p w:rsidR="0014005A" w:rsidRPr="0014005A" w:rsidRDefault="0014005A" w:rsidP="0014005A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sz w:val="22"/>
                <w:szCs w:val="22"/>
              </w:rPr>
            </w:pPr>
            <w:r w:rsidRPr="0014005A">
              <w:rPr>
                <w:sz w:val="22"/>
                <w:szCs w:val="22"/>
              </w:rPr>
              <w:t>To provide support to the Extended enrichment provision as directed and guided by Line Managers.</w:t>
            </w:r>
          </w:p>
          <w:p w:rsidR="0014005A" w:rsidRPr="0014005A" w:rsidRDefault="0014005A" w:rsidP="0014005A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sz w:val="22"/>
                <w:szCs w:val="22"/>
              </w:rPr>
            </w:pPr>
            <w:r w:rsidRPr="0014005A">
              <w:rPr>
                <w:sz w:val="22"/>
                <w:szCs w:val="22"/>
              </w:rPr>
              <w:lastRenderedPageBreak/>
              <w:t>To advise colleagues as soon as possible and in accord with Academy policy and procedure, specifically line-managers; of any concerns regarding student academic or emotional progress and/or development.</w:t>
            </w:r>
          </w:p>
          <w:p w:rsidR="0014005A" w:rsidRPr="0014005A" w:rsidRDefault="0014005A" w:rsidP="0014005A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sz w:val="22"/>
                <w:szCs w:val="22"/>
              </w:rPr>
            </w:pPr>
            <w:r w:rsidRPr="0014005A">
              <w:rPr>
                <w:sz w:val="22"/>
                <w:szCs w:val="22"/>
              </w:rPr>
              <w:t>To promote personal and group reflection in students in all aspects of academic, social and emotional learning.</w:t>
            </w:r>
          </w:p>
          <w:p w:rsidR="0014005A" w:rsidRPr="0014005A" w:rsidRDefault="0014005A" w:rsidP="0014005A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sz w:val="22"/>
                <w:szCs w:val="22"/>
              </w:rPr>
            </w:pPr>
            <w:r w:rsidRPr="0014005A">
              <w:rPr>
                <w:sz w:val="22"/>
                <w:szCs w:val="22"/>
              </w:rPr>
              <w:t>Have the highest of expectations of pupils learning and progress.</w:t>
            </w:r>
          </w:p>
          <w:p w:rsidR="0014005A" w:rsidRPr="0014005A" w:rsidRDefault="0014005A" w:rsidP="0014005A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sz w:val="22"/>
                <w:szCs w:val="22"/>
              </w:rPr>
            </w:pPr>
            <w:r w:rsidRPr="0014005A">
              <w:rPr>
                <w:sz w:val="22"/>
                <w:szCs w:val="22"/>
              </w:rPr>
              <w:t>Foster high aspirations through positive interactions with students and parents.</w:t>
            </w:r>
          </w:p>
          <w:p w:rsidR="0014005A" w:rsidRDefault="0014005A" w:rsidP="0014005A">
            <w:pPr>
              <w:numPr>
                <w:ilvl w:val="0"/>
                <w:numId w:val="3"/>
              </w:numPr>
              <w:suppressAutoHyphens/>
              <w:spacing w:after="200" w:line="276" w:lineRule="auto"/>
              <w:rPr>
                <w:sz w:val="22"/>
                <w:szCs w:val="22"/>
              </w:rPr>
            </w:pPr>
            <w:r w:rsidRPr="0014005A">
              <w:rPr>
                <w:sz w:val="22"/>
                <w:szCs w:val="22"/>
              </w:rPr>
              <w:t>Support and participate in student reading/literacy initiatives.</w:t>
            </w:r>
          </w:p>
          <w:p w:rsidR="00DC28F1" w:rsidRPr="0086248C" w:rsidRDefault="00DC28F1" w:rsidP="00DC28F1">
            <w:pPr>
              <w:spacing w:after="0" w:line="240" w:lineRule="auto"/>
              <w:rPr>
                <w:sz w:val="22"/>
                <w:szCs w:val="22"/>
                <w:u w:val="single"/>
              </w:rPr>
            </w:pPr>
            <w:r w:rsidRPr="0086248C">
              <w:rPr>
                <w:sz w:val="22"/>
                <w:szCs w:val="22"/>
                <w:u w:val="single"/>
              </w:rPr>
              <w:t xml:space="preserve">Other </w:t>
            </w:r>
          </w:p>
          <w:p w:rsidR="00DC28F1" w:rsidRDefault="00DC28F1" w:rsidP="00DC28F1">
            <w:pPr>
              <w:pStyle w:val="ListParagraph"/>
              <w:numPr>
                <w:ilvl w:val="0"/>
                <w:numId w:val="6"/>
              </w:numPr>
              <w:suppressAutoHyphens/>
              <w:spacing w:after="0" w:line="240" w:lineRule="auto"/>
              <w:contextualSpacing w:val="0"/>
              <w:rPr>
                <w:sz w:val="22"/>
                <w:szCs w:val="22"/>
              </w:rPr>
            </w:pPr>
            <w:r w:rsidRPr="0086248C">
              <w:rPr>
                <w:sz w:val="22"/>
                <w:szCs w:val="22"/>
              </w:rPr>
              <w:t>To adhere to Academy dress code presenting a professional image to students, parents/carers, governors and the wider community</w:t>
            </w:r>
          </w:p>
          <w:p w:rsidR="00DC28F1" w:rsidRPr="00DC28F1" w:rsidRDefault="00DC28F1" w:rsidP="00DC28F1">
            <w:pPr>
              <w:pStyle w:val="ListParagraph"/>
              <w:suppressAutoHyphens/>
              <w:spacing w:after="0" w:line="240" w:lineRule="auto"/>
              <w:contextualSpacing w:val="0"/>
              <w:rPr>
                <w:sz w:val="22"/>
                <w:szCs w:val="22"/>
              </w:rPr>
            </w:pPr>
          </w:p>
        </w:tc>
      </w:tr>
      <w:tr w:rsidR="0014005A" w:rsidRPr="0014005A" w:rsidTr="0014005A">
        <w:trPr>
          <w:trHeight w:val="1416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BAA" w:rsidRDefault="00A21BAA" w:rsidP="004D5F00">
            <w:pPr>
              <w:snapToGrid w:val="0"/>
              <w:spacing w:after="0" w:line="240" w:lineRule="auto"/>
              <w:rPr>
                <w:bCs/>
                <w:sz w:val="22"/>
                <w:szCs w:val="22"/>
              </w:rPr>
            </w:pPr>
          </w:p>
          <w:p w:rsidR="0014005A" w:rsidRPr="00A21BAA" w:rsidRDefault="0014005A" w:rsidP="004D5F00">
            <w:pPr>
              <w:snapToGrid w:val="0"/>
              <w:spacing w:after="0" w:line="240" w:lineRule="auto"/>
              <w:rPr>
                <w:bCs/>
                <w:sz w:val="22"/>
                <w:szCs w:val="22"/>
              </w:rPr>
            </w:pPr>
            <w:r w:rsidRPr="00A21BAA">
              <w:rPr>
                <w:bCs/>
                <w:sz w:val="22"/>
                <w:szCs w:val="22"/>
              </w:rPr>
              <w:t>Community</w:t>
            </w:r>
          </w:p>
        </w:tc>
        <w:tc>
          <w:tcPr>
            <w:tcW w:w="7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AA" w:rsidRDefault="00A21BAA" w:rsidP="00A21BAA">
            <w:pPr>
              <w:suppressAutoHyphens/>
              <w:snapToGrid w:val="0"/>
              <w:spacing w:after="0" w:line="240" w:lineRule="auto"/>
              <w:ind w:left="360"/>
              <w:rPr>
                <w:sz w:val="22"/>
                <w:szCs w:val="22"/>
              </w:rPr>
            </w:pPr>
          </w:p>
          <w:p w:rsidR="0014005A" w:rsidRPr="0014005A" w:rsidRDefault="0014005A" w:rsidP="0014005A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60"/>
              <w:rPr>
                <w:sz w:val="22"/>
                <w:szCs w:val="22"/>
              </w:rPr>
            </w:pPr>
            <w:r w:rsidRPr="0014005A">
              <w:rPr>
                <w:sz w:val="22"/>
                <w:szCs w:val="22"/>
              </w:rPr>
              <w:t>Maintain confidentiality inside and outside the workplace</w:t>
            </w:r>
          </w:p>
          <w:p w:rsidR="0014005A" w:rsidRPr="0014005A" w:rsidRDefault="0014005A" w:rsidP="0014005A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60"/>
              <w:rPr>
                <w:sz w:val="22"/>
                <w:szCs w:val="22"/>
              </w:rPr>
            </w:pPr>
            <w:r w:rsidRPr="0014005A">
              <w:rPr>
                <w:sz w:val="22"/>
                <w:szCs w:val="22"/>
              </w:rPr>
              <w:t>Understand and apply Academy policies</w:t>
            </w:r>
          </w:p>
          <w:p w:rsidR="0014005A" w:rsidRPr="0014005A" w:rsidRDefault="0014005A" w:rsidP="0014005A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60"/>
              <w:rPr>
                <w:sz w:val="22"/>
                <w:szCs w:val="22"/>
              </w:rPr>
            </w:pPr>
            <w:r w:rsidRPr="0014005A">
              <w:rPr>
                <w:sz w:val="22"/>
                <w:szCs w:val="22"/>
              </w:rPr>
              <w:t>Support Academy ethos and vision in the wider community</w:t>
            </w:r>
          </w:p>
        </w:tc>
      </w:tr>
    </w:tbl>
    <w:p w:rsidR="0014005A" w:rsidRDefault="0014005A" w:rsidP="0014005A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0"/>
      </w:tblGrid>
      <w:tr w:rsidR="0014005A" w:rsidRPr="0014005A" w:rsidTr="004D5F00">
        <w:tc>
          <w:tcPr>
            <w:tcW w:w="8640" w:type="dxa"/>
          </w:tcPr>
          <w:p w:rsidR="0014005A" w:rsidRPr="0014005A" w:rsidRDefault="0014005A" w:rsidP="004D5F00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14005A" w:rsidRPr="0014005A" w:rsidRDefault="0014005A" w:rsidP="001400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2" w:color="000000"/>
        </w:pBdr>
        <w:rPr>
          <w:sz w:val="22"/>
          <w:szCs w:val="22"/>
        </w:rPr>
      </w:pPr>
      <w:r w:rsidRPr="0014005A">
        <w:rPr>
          <w:sz w:val="22"/>
          <w:szCs w:val="22"/>
        </w:rPr>
        <w:t xml:space="preserve">This job description sets out </w:t>
      </w:r>
      <w:r w:rsidR="00564D76">
        <w:rPr>
          <w:sz w:val="22"/>
          <w:szCs w:val="22"/>
        </w:rPr>
        <w:t xml:space="preserve">the main duties of the post.  </w:t>
      </w:r>
      <w:r w:rsidRPr="0014005A">
        <w:rPr>
          <w:sz w:val="22"/>
          <w:szCs w:val="22"/>
        </w:rPr>
        <w:t xml:space="preserve">Other </w:t>
      </w:r>
      <w:r w:rsidRPr="0014005A">
        <w:rPr>
          <w:sz w:val="22"/>
          <w:szCs w:val="22"/>
          <w:lang w:val="en-US"/>
        </w:rPr>
        <w:t xml:space="preserve">duties may be assigned by the Principal, </w:t>
      </w:r>
      <w:r w:rsidRPr="0014005A">
        <w:rPr>
          <w:sz w:val="22"/>
          <w:szCs w:val="22"/>
        </w:rPr>
        <w:t xml:space="preserve">without changing the general character of the post or level of responsibility. Roles and responsibilities may change as the Academy develops. </w:t>
      </w:r>
    </w:p>
    <w:p w:rsidR="0014005A" w:rsidRPr="0014005A" w:rsidRDefault="0014005A" w:rsidP="001400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2" w:color="000000"/>
        </w:pBdr>
        <w:rPr>
          <w:sz w:val="22"/>
          <w:szCs w:val="22"/>
        </w:rPr>
      </w:pPr>
      <w:r w:rsidRPr="0014005A">
        <w:rPr>
          <w:sz w:val="22"/>
          <w:szCs w:val="22"/>
        </w:rPr>
        <w:t>These responsibilities will be discussed annually as part of annual performance review and are subject to change</w:t>
      </w:r>
    </w:p>
    <w:p w:rsidR="00582BA7" w:rsidRPr="0014005A" w:rsidRDefault="00582BA7" w:rsidP="00582BA7">
      <w:pPr>
        <w:rPr>
          <w:sz w:val="22"/>
          <w:szCs w:val="22"/>
        </w:rPr>
      </w:pPr>
    </w:p>
    <w:sectPr w:rsidR="00582BA7" w:rsidRPr="0014005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475" w:rsidRDefault="00E11475" w:rsidP="00582BA7">
      <w:pPr>
        <w:spacing w:after="0" w:line="240" w:lineRule="auto"/>
      </w:pPr>
      <w:r>
        <w:separator/>
      </w:r>
    </w:p>
  </w:endnote>
  <w:endnote w:type="continuationSeparator" w:id="0">
    <w:p w:rsidR="00E11475" w:rsidRDefault="00E11475" w:rsidP="00582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475" w:rsidRDefault="00E11475" w:rsidP="00582BA7">
      <w:pPr>
        <w:spacing w:after="0" w:line="240" w:lineRule="auto"/>
      </w:pPr>
      <w:r>
        <w:separator/>
      </w:r>
    </w:p>
  </w:footnote>
  <w:footnote w:type="continuationSeparator" w:id="0">
    <w:p w:rsidR="00E11475" w:rsidRDefault="00E11475" w:rsidP="00582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BA7" w:rsidRPr="00582BA7" w:rsidRDefault="00582BA7" w:rsidP="00582BA7">
    <w:pPr>
      <w:jc w:val="center"/>
      <w:rPr>
        <w:sz w:val="40"/>
        <w:szCs w:val="40"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04280F8" wp14:editId="125A48F8">
          <wp:simplePos x="0" y="0"/>
          <wp:positionH relativeFrom="column">
            <wp:posOffset>4867275</wp:posOffset>
          </wp:positionH>
          <wp:positionV relativeFrom="paragraph">
            <wp:posOffset>-311577</wp:posOffset>
          </wp:positionV>
          <wp:extent cx="1403985" cy="1309797"/>
          <wp:effectExtent l="0" t="0" r="5715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3200" cy="133705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82BA7">
      <w:rPr>
        <w:sz w:val="40"/>
        <w:szCs w:val="40"/>
      </w:rPr>
      <w:t>THE VICTORY ACADEMY</w:t>
    </w:r>
  </w:p>
  <w:p w:rsidR="00582BA7" w:rsidRDefault="00582BA7" w:rsidP="00731467">
    <w:pPr>
      <w:jc w:val="center"/>
    </w:pPr>
    <w:r>
      <w:t>(Formerly</w:t>
    </w:r>
    <w:r w:rsidR="00731467">
      <w:t>, Bishop of Rochester Academy)</w:t>
    </w:r>
  </w:p>
  <w:p w:rsidR="00582BA7" w:rsidRDefault="00582BA7" w:rsidP="00582BA7">
    <w:pPr>
      <w:jc w:val="center"/>
      <w:rPr>
        <w:b/>
        <w:sz w:val="28"/>
        <w:szCs w:val="28"/>
      </w:rPr>
    </w:pPr>
    <w:r w:rsidRPr="00582BA7">
      <w:rPr>
        <w:b/>
        <w:sz w:val="28"/>
        <w:szCs w:val="28"/>
      </w:rPr>
      <w:t>Job Description</w:t>
    </w:r>
  </w:p>
  <w:p w:rsidR="00731467" w:rsidRPr="00582BA7" w:rsidRDefault="00736AED" w:rsidP="00582BA7">
    <w:pPr>
      <w:jc w:val="center"/>
      <w:rPr>
        <w:b/>
        <w:sz w:val="28"/>
        <w:szCs w:val="28"/>
      </w:rPr>
    </w:pPr>
    <w:r>
      <w:rPr>
        <w:b/>
        <w:sz w:val="28"/>
        <w:szCs w:val="28"/>
      </w:rPr>
      <w:pict>
        <v:rect id="_x0000_i1025" style="width:0;height:1.5pt" o:hralign="center" o:hrstd="t" o:hr="t" fillcolor="#a0a0a0" stroked="f"/>
      </w:pict>
    </w:r>
  </w:p>
  <w:p w:rsidR="00582BA7" w:rsidRDefault="00582B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D2162E4"/>
    <w:multiLevelType w:val="hybridMultilevel"/>
    <w:tmpl w:val="2620EB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560472"/>
    <w:multiLevelType w:val="hybridMultilevel"/>
    <w:tmpl w:val="4DC279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CB1E67"/>
    <w:multiLevelType w:val="hybridMultilevel"/>
    <w:tmpl w:val="1F8C9064"/>
    <w:lvl w:ilvl="0" w:tplc="FA4273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285EA6"/>
    <w:multiLevelType w:val="hybridMultilevel"/>
    <w:tmpl w:val="7C425C56"/>
    <w:lvl w:ilvl="0" w:tplc="FA4273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55627B"/>
    <w:multiLevelType w:val="hybridMultilevel"/>
    <w:tmpl w:val="BC382838"/>
    <w:lvl w:ilvl="0" w:tplc="FA4273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BA7"/>
    <w:rsid w:val="0014005A"/>
    <w:rsid w:val="00346F17"/>
    <w:rsid w:val="003C1313"/>
    <w:rsid w:val="00564D76"/>
    <w:rsid w:val="00582BA7"/>
    <w:rsid w:val="00711312"/>
    <w:rsid w:val="00731467"/>
    <w:rsid w:val="00736AED"/>
    <w:rsid w:val="00A21BAA"/>
    <w:rsid w:val="00B77CA3"/>
    <w:rsid w:val="00CE44B5"/>
    <w:rsid w:val="00DC28F1"/>
    <w:rsid w:val="00E1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  <w15:chartTrackingRefBased/>
  <w15:docId w15:val="{346DFB06-BF54-4548-9EE5-6E3AE64E6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BA7"/>
  </w:style>
  <w:style w:type="paragraph" w:styleId="Heading1">
    <w:name w:val="heading 1"/>
    <w:basedOn w:val="Normal"/>
    <w:next w:val="Normal"/>
    <w:link w:val="Heading1Char"/>
    <w:uiPriority w:val="9"/>
    <w:qFormat/>
    <w:rsid w:val="00582BA7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2BA7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82BA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2B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2BA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82BA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82BA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2BA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2BA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2B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82BA7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82BA7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2BA7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2BA7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2BA7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2BA7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2BA7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2BA7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82BA7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582BA7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2BA7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2BA7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82BA7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582BA7"/>
    <w:rPr>
      <w:b/>
      <w:bCs/>
    </w:rPr>
  </w:style>
  <w:style w:type="character" w:styleId="Emphasis">
    <w:name w:val="Emphasis"/>
    <w:basedOn w:val="DefaultParagraphFont"/>
    <w:uiPriority w:val="20"/>
    <w:qFormat/>
    <w:rsid w:val="00582BA7"/>
    <w:rPr>
      <w:i/>
      <w:iCs/>
    </w:rPr>
  </w:style>
  <w:style w:type="paragraph" w:styleId="NoSpacing">
    <w:name w:val="No Spacing"/>
    <w:uiPriority w:val="1"/>
    <w:qFormat/>
    <w:rsid w:val="00582BA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82BA7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82BA7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82BA7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82BA7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582BA7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582BA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82BA7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82BA7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82BA7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2BA7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82B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BA7"/>
  </w:style>
  <w:style w:type="paragraph" w:styleId="Footer">
    <w:name w:val="footer"/>
    <w:basedOn w:val="Normal"/>
    <w:link w:val="FooterChar"/>
    <w:uiPriority w:val="99"/>
    <w:unhideWhenUsed/>
    <w:rsid w:val="00582B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BA7"/>
  </w:style>
  <w:style w:type="character" w:styleId="PlaceholderText">
    <w:name w:val="Placeholder Text"/>
    <w:basedOn w:val="DefaultParagraphFont"/>
    <w:uiPriority w:val="99"/>
    <w:semiHidden/>
    <w:rsid w:val="0014005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31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3C1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7D63A-FDF7-491B-AA7D-621075B2E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442</Words>
  <Characters>2526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of Rochester Academy</Company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Villalta</dc:creator>
  <cp:keywords/>
  <dc:description/>
  <cp:lastModifiedBy>Chesters, Sara</cp:lastModifiedBy>
  <cp:revision>2</cp:revision>
  <cp:lastPrinted>2015-06-11T11:38:00Z</cp:lastPrinted>
  <dcterms:created xsi:type="dcterms:W3CDTF">2018-06-11T12:36:00Z</dcterms:created>
  <dcterms:modified xsi:type="dcterms:W3CDTF">2018-06-11T12:36:00Z</dcterms:modified>
</cp:coreProperties>
</file>