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685" w:rsidRPr="006468A0" w:rsidRDefault="00E5278B">
      <w:r w:rsidRPr="00C77561">
        <w:rPr>
          <w:noProof/>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0</wp:posOffset>
            </wp:positionV>
            <wp:extent cx="1449705" cy="1381125"/>
            <wp:effectExtent l="0" t="0" r="0" b="952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49705" cy="1381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53AF" w:rsidRPr="00C253AF">
        <w:rPr>
          <w:b/>
        </w:rPr>
        <w:t>POST:</w:t>
      </w:r>
      <w:r w:rsidR="00C253AF" w:rsidRPr="00C253AF">
        <w:rPr>
          <w:b/>
        </w:rPr>
        <w:tab/>
      </w:r>
      <w:r w:rsidR="00C253AF" w:rsidRPr="00C253AF">
        <w:rPr>
          <w:b/>
        </w:rPr>
        <w:tab/>
      </w:r>
      <w:r w:rsidR="006468A0">
        <w:rPr>
          <w:b/>
        </w:rPr>
        <w:tab/>
      </w:r>
      <w:r w:rsidR="00515323">
        <w:rPr>
          <w:b/>
        </w:rPr>
        <w:t>2</w:t>
      </w:r>
      <w:r w:rsidR="00515323" w:rsidRPr="00515323">
        <w:rPr>
          <w:b/>
          <w:vertAlign w:val="superscript"/>
        </w:rPr>
        <w:t>nd</w:t>
      </w:r>
      <w:r w:rsidR="00515323">
        <w:rPr>
          <w:b/>
        </w:rPr>
        <w:t xml:space="preserve"> in Department - </w:t>
      </w:r>
      <w:r w:rsidR="00DC18EB" w:rsidRPr="007A5438">
        <w:rPr>
          <w:b/>
        </w:rPr>
        <w:t>Maths</w:t>
      </w:r>
      <w:r w:rsidR="00F226F5">
        <w:t xml:space="preserve">   </w:t>
      </w:r>
    </w:p>
    <w:p w:rsidR="00C253AF" w:rsidRPr="00C253AF" w:rsidRDefault="00C253AF">
      <w:pPr>
        <w:rPr>
          <w:b/>
        </w:rPr>
      </w:pPr>
      <w:r w:rsidRPr="00C253AF">
        <w:rPr>
          <w:b/>
        </w:rPr>
        <w:t>RESPONSIBLE TO</w:t>
      </w:r>
      <w:r w:rsidRPr="006468A0">
        <w:t>:</w:t>
      </w:r>
      <w:r w:rsidR="006468A0" w:rsidRPr="006468A0">
        <w:t xml:space="preserve">           </w:t>
      </w:r>
      <w:r w:rsidR="00E5278B">
        <w:t>Head of Maths</w:t>
      </w:r>
      <w:bookmarkStart w:id="0" w:name="_GoBack"/>
      <w:bookmarkEnd w:id="0"/>
      <w:r w:rsidR="00730B0C">
        <w:t xml:space="preserve">     </w:t>
      </w:r>
    </w:p>
    <w:p w:rsidR="00C253AF" w:rsidRPr="00C253AF" w:rsidRDefault="00C253AF">
      <w:pPr>
        <w:rPr>
          <w:b/>
        </w:rPr>
      </w:pPr>
      <w:r w:rsidRPr="00C253AF">
        <w:rPr>
          <w:b/>
        </w:rPr>
        <w:t>LEVEL:</w:t>
      </w:r>
      <w:r w:rsidR="007A5438">
        <w:rPr>
          <w:b/>
        </w:rPr>
        <w:tab/>
      </w:r>
      <w:r w:rsidR="007A5438">
        <w:rPr>
          <w:b/>
        </w:rPr>
        <w:tab/>
      </w:r>
      <w:r w:rsidR="007A5438">
        <w:rPr>
          <w:b/>
        </w:rPr>
        <w:tab/>
      </w:r>
      <w:r w:rsidR="007A5438" w:rsidRPr="007A5438">
        <w:t>TLR 2B</w:t>
      </w:r>
    </w:p>
    <w:p w:rsidR="00C253AF" w:rsidRPr="00C253AF" w:rsidRDefault="00C253AF" w:rsidP="00610BD4">
      <w:pPr>
        <w:ind w:left="2127" w:hanging="2127"/>
        <w:rPr>
          <w:b/>
        </w:rPr>
      </w:pPr>
      <w:r w:rsidRPr="00C253AF">
        <w:rPr>
          <w:b/>
        </w:rPr>
        <w:t>CORE PURPOSE:</w:t>
      </w:r>
      <w:r w:rsidR="008B1B56">
        <w:rPr>
          <w:b/>
        </w:rPr>
        <w:tab/>
      </w:r>
      <w:r w:rsidR="008B1B56" w:rsidRPr="00397479">
        <w:rPr>
          <w:rFonts w:cs="Calibri"/>
        </w:rPr>
        <w:t xml:space="preserve">To lead, </w:t>
      </w:r>
      <w:r w:rsidR="008B1B56">
        <w:rPr>
          <w:rFonts w:cs="Calibri"/>
        </w:rPr>
        <w:t xml:space="preserve">develop and manage the delivery </w:t>
      </w:r>
      <w:r w:rsidR="008B1B56" w:rsidRPr="00730B0C">
        <w:rPr>
          <w:rFonts w:cs="Calibri"/>
        </w:rPr>
        <w:t xml:space="preserve">of </w:t>
      </w:r>
      <w:r w:rsidR="00685834">
        <w:rPr>
          <w:rFonts w:cs="Calibri"/>
        </w:rPr>
        <w:t xml:space="preserve">Maths </w:t>
      </w:r>
      <w:r w:rsidR="008B1B56" w:rsidRPr="00730B0C">
        <w:rPr>
          <w:rFonts w:cs="Calibri"/>
        </w:rPr>
        <w:t xml:space="preserve">within the </w:t>
      </w:r>
      <w:r w:rsidR="00442F3F">
        <w:rPr>
          <w:rFonts w:cs="Calibri"/>
        </w:rPr>
        <w:t xml:space="preserve">Maths </w:t>
      </w:r>
      <w:r w:rsidR="00610BD4">
        <w:rPr>
          <w:rFonts w:cs="Calibri"/>
        </w:rPr>
        <w:t>L</w:t>
      </w:r>
      <w:r w:rsidR="008B1B56" w:rsidRPr="00397479">
        <w:rPr>
          <w:rFonts w:cs="Calibri"/>
        </w:rPr>
        <w:t xml:space="preserve">earning </w:t>
      </w:r>
      <w:r w:rsidR="00610BD4">
        <w:rPr>
          <w:rFonts w:cs="Calibri"/>
        </w:rPr>
        <w:t>Directorate</w:t>
      </w:r>
      <w:r w:rsidR="008B1B56" w:rsidRPr="00397479">
        <w:rPr>
          <w:rFonts w:cs="Calibri"/>
        </w:rPr>
        <w:t xml:space="preserve"> in order to secure high quality learning and teaching and improved achievement and attainment.</w:t>
      </w:r>
      <w:r w:rsidR="008B1B56">
        <w:rPr>
          <w:b/>
        </w:rPr>
        <w:tab/>
      </w:r>
      <w:r w:rsidR="008B1B56">
        <w:rPr>
          <w:b/>
        </w:rPr>
        <w:tab/>
      </w:r>
    </w:p>
    <w:p w:rsidR="00C253AF" w:rsidRDefault="00C253AF" w:rsidP="00E5278B">
      <w:pPr>
        <w:ind w:left="2127" w:hanging="2127"/>
        <w:jc w:val="both"/>
      </w:pPr>
      <w:r w:rsidRPr="00C253AF">
        <w:rPr>
          <w:b/>
        </w:rPr>
        <w:t>JOB DESCRIPTION</w:t>
      </w:r>
      <w:r>
        <w:t>:</w:t>
      </w:r>
      <w:r>
        <w:tab/>
        <w:t>The duties outlined in this job description are in addition to those covered by the latest ‘School Teachers Pay and Conditions’ document. The job description will be reviewed regularly to reflect or anticipate changes on the job, commensurate with the salary and areas of responsibility</w:t>
      </w:r>
    </w:p>
    <w:p w:rsidR="00C253AF" w:rsidRDefault="00C253AF" w:rsidP="00C253AF">
      <w:pPr>
        <w:ind w:left="2268" w:hanging="2268"/>
        <w:jc w:val="both"/>
        <w:rPr>
          <w:b/>
        </w:rPr>
      </w:pPr>
      <w:r w:rsidRPr="00C253AF">
        <w:rPr>
          <w:b/>
        </w:rPr>
        <w:t xml:space="preserve">With the </w:t>
      </w:r>
      <w:r w:rsidR="008B1B56">
        <w:rPr>
          <w:b/>
        </w:rPr>
        <w:t>Learning Director</w:t>
      </w:r>
      <w:r w:rsidRPr="00C253AF">
        <w:rPr>
          <w:b/>
        </w:rPr>
        <w:t xml:space="preserve"> the post holder will:</w:t>
      </w:r>
    </w:p>
    <w:p w:rsidR="008B1B56" w:rsidRPr="00391C58" w:rsidRDefault="00610BD4" w:rsidP="00F226F5">
      <w:pPr>
        <w:pStyle w:val="ListParagraph"/>
        <w:numPr>
          <w:ilvl w:val="0"/>
          <w:numId w:val="9"/>
        </w:numPr>
        <w:spacing w:after="100" w:afterAutospacing="1" w:line="240" w:lineRule="auto"/>
      </w:pPr>
      <w:r>
        <w:t>H</w:t>
      </w:r>
      <w:r w:rsidR="008B1B56">
        <w:t xml:space="preserve">elp to </w:t>
      </w:r>
      <w:r w:rsidR="008B1B56" w:rsidRPr="00391C58">
        <w:t>deliver the Sponsors’ vision and translate</w:t>
      </w:r>
      <w:r w:rsidR="008B1B56">
        <w:t xml:space="preserve"> into practice </w:t>
      </w:r>
    </w:p>
    <w:p w:rsidR="008B1B56" w:rsidRPr="00391C58" w:rsidRDefault="00610BD4" w:rsidP="00F226F5">
      <w:pPr>
        <w:pStyle w:val="ListParagraph"/>
        <w:numPr>
          <w:ilvl w:val="0"/>
          <w:numId w:val="9"/>
        </w:numPr>
        <w:spacing w:after="100" w:afterAutospacing="1" w:line="240" w:lineRule="auto"/>
      </w:pPr>
      <w:r>
        <w:t>E</w:t>
      </w:r>
      <w:r w:rsidR="008B1B56" w:rsidRPr="00391C58">
        <w:t>nsure that all the Academy policies are implemented</w:t>
      </w:r>
    </w:p>
    <w:p w:rsidR="008B1B56" w:rsidRDefault="00610BD4" w:rsidP="00F226F5">
      <w:pPr>
        <w:pStyle w:val="ListParagraph"/>
        <w:numPr>
          <w:ilvl w:val="0"/>
          <w:numId w:val="9"/>
        </w:numPr>
        <w:spacing w:after="100" w:afterAutospacing="1" w:line="240" w:lineRule="auto"/>
      </w:pPr>
      <w:r>
        <w:t>Foster</w:t>
      </w:r>
      <w:r w:rsidR="008B1B56" w:rsidRPr="00391C58">
        <w:t xml:space="preserve"> a learning culture with high expectations in a safe and secure learning environment</w:t>
      </w:r>
    </w:p>
    <w:p w:rsidR="006C4CEE" w:rsidRPr="00391C58" w:rsidRDefault="00610BD4" w:rsidP="00F226F5">
      <w:pPr>
        <w:pStyle w:val="ListParagraph"/>
        <w:numPr>
          <w:ilvl w:val="0"/>
          <w:numId w:val="9"/>
        </w:numPr>
        <w:spacing w:after="100" w:afterAutospacing="1" w:line="240" w:lineRule="auto"/>
      </w:pPr>
      <w:r>
        <w:t>C</w:t>
      </w:r>
      <w:r w:rsidR="006C4CEE">
        <w:t xml:space="preserve">ontribute to the </w:t>
      </w:r>
      <w:r>
        <w:t>Directorate</w:t>
      </w:r>
      <w:r w:rsidR="006C4CEE">
        <w:t xml:space="preserve"> development plan and take responsibility for discrete areas within it</w:t>
      </w:r>
    </w:p>
    <w:p w:rsidR="00C253AF" w:rsidRDefault="00C253AF" w:rsidP="00C253AF">
      <w:pPr>
        <w:ind w:left="2268" w:hanging="2268"/>
        <w:jc w:val="both"/>
      </w:pPr>
      <w:r w:rsidRPr="00C253AF">
        <w:rPr>
          <w:b/>
        </w:rPr>
        <w:t>SPECIFIC RESPONSIBILITES</w:t>
      </w:r>
    </w:p>
    <w:p w:rsidR="00C253AF" w:rsidRDefault="00C253AF" w:rsidP="00C253AF">
      <w:pPr>
        <w:ind w:left="2268" w:hanging="2268"/>
        <w:jc w:val="both"/>
        <w:rPr>
          <w:b/>
        </w:rPr>
      </w:pPr>
      <w:r w:rsidRPr="00C253AF">
        <w:rPr>
          <w:b/>
        </w:rPr>
        <w:t>Strategic Direction</w:t>
      </w:r>
    </w:p>
    <w:p w:rsidR="00610BD4" w:rsidRPr="00610BD4" w:rsidRDefault="00610BD4" w:rsidP="00F226F5">
      <w:pPr>
        <w:pStyle w:val="ListParagraph"/>
        <w:numPr>
          <w:ilvl w:val="0"/>
          <w:numId w:val="10"/>
        </w:numPr>
        <w:spacing w:after="100" w:afterAutospacing="1" w:line="240" w:lineRule="auto"/>
        <w:jc w:val="both"/>
      </w:pPr>
      <w:r w:rsidRPr="00610BD4">
        <w:t xml:space="preserve">To lead on standards and student outcomes </w:t>
      </w:r>
      <w:r w:rsidRPr="00730B0C">
        <w:t xml:space="preserve">within </w:t>
      </w:r>
      <w:r w:rsidR="00685834">
        <w:rPr>
          <w:rFonts w:cs="Calibri"/>
        </w:rPr>
        <w:t>Maths</w:t>
      </w:r>
    </w:p>
    <w:p w:rsidR="008B1B56" w:rsidRDefault="00610BD4" w:rsidP="00F226F5">
      <w:pPr>
        <w:pStyle w:val="ListParagraph"/>
        <w:numPr>
          <w:ilvl w:val="0"/>
          <w:numId w:val="10"/>
        </w:numPr>
        <w:spacing w:after="100" w:afterAutospacing="1" w:line="240" w:lineRule="auto"/>
        <w:jc w:val="both"/>
      </w:pPr>
      <w:r>
        <w:t>T</w:t>
      </w:r>
      <w:r w:rsidR="008B1B56">
        <w:t xml:space="preserve">o develop and sustain high quality teaching and learning throughout the </w:t>
      </w:r>
      <w:r w:rsidR="00685834">
        <w:rPr>
          <w:rFonts w:cs="Calibri"/>
        </w:rPr>
        <w:t>Maths</w:t>
      </w:r>
      <w:r w:rsidR="00F226F5" w:rsidRPr="00730B0C">
        <w:t xml:space="preserve"> </w:t>
      </w:r>
      <w:r w:rsidR="008B1B56" w:rsidRPr="00730B0C">
        <w:t>subject</w:t>
      </w:r>
      <w:r w:rsidR="008B1B56">
        <w:t xml:space="preserve"> area</w:t>
      </w:r>
    </w:p>
    <w:p w:rsidR="00610BD4" w:rsidRDefault="00610BD4" w:rsidP="00F226F5">
      <w:pPr>
        <w:pStyle w:val="ListParagraph"/>
        <w:numPr>
          <w:ilvl w:val="0"/>
          <w:numId w:val="10"/>
        </w:numPr>
        <w:spacing w:after="100" w:afterAutospacing="1" w:line="240" w:lineRule="auto"/>
        <w:jc w:val="both"/>
      </w:pPr>
      <w:r>
        <w:t xml:space="preserve">To ensure that the curriculum </w:t>
      </w:r>
      <w:r w:rsidRPr="00730B0C">
        <w:t xml:space="preserve">offering within </w:t>
      </w:r>
      <w:r w:rsidR="00685834">
        <w:rPr>
          <w:rFonts w:cs="Calibri"/>
        </w:rPr>
        <w:t>Maths</w:t>
      </w:r>
      <w:r>
        <w:t xml:space="preserve"> meets the needs of the students</w:t>
      </w:r>
    </w:p>
    <w:p w:rsidR="008B1B56" w:rsidRDefault="002E3107" w:rsidP="00F226F5">
      <w:pPr>
        <w:pStyle w:val="ListParagraph"/>
        <w:numPr>
          <w:ilvl w:val="0"/>
          <w:numId w:val="10"/>
        </w:numPr>
        <w:spacing w:after="100" w:afterAutospacing="1" w:line="240" w:lineRule="auto"/>
      </w:pPr>
      <w:r>
        <w:t>T</w:t>
      </w:r>
      <w:r w:rsidR="008B1B56">
        <w:t xml:space="preserve">o lead on all aspects of </w:t>
      </w:r>
      <w:r w:rsidR="00685834">
        <w:rPr>
          <w:rFonts w:cs="Calibri"/>
        </w:rPr>
        <w:t>Maths</w:t>
      </w:r>
      <w:r w:rsidR="008B1B56" w:rsidRPr="00730B0C">
        <w:t>, keeping</w:t>
      </w:r>
      <w:r w:rsidR="008B1B56">
        <w:t xml:space="preserve"> up to date with new and relevant information </w:t>
      </w:r>
    </w:p>
    <w:p w:rsidR="008B1B56" w:rsidRDefault="002E3107" w:rsidP="00F226F5">
      <w:pPr>
        <w:pStyle w:val="ListParagraph"/>
        <w:numPr>
          <w:ilvl w:val="0"/>
          <w:numId w:val="10"/>
        </w:numPr>
        <w:spacing w:after="100" w:afterAutospacing="1" w:line="240" w:lineRule="auto"/>
      </w:pPr>
      <w:r>
        <w:t>T</w:t>
      </w:r>
      <w:r w:rsidR="008B1B56">
        <w:t>o lead good pedagogy</w:t>
      </w:r>
      <w:r w:rsidR="008B1B56" w:rsidRPr="001A171B">
        <w:t xml:space="preserve"> </w:t>
      </w:r>
      <w:r w:rsidR="008A6932">
        <w:t xml:space="preserve">practice within </w:t>
      </w:r>
      <w:r w:rsidR="008A6932">
        <w:rPr>
          <w:rFonts w:cs="Calibri"/>
        </w:rPr>
        <w:t>Maths</w:t>
      </w:r>
      <w:r w:rsidR="008B1B56">
        <w:t xml:space="preserve"> and sharing it within the </w:t>
      </w:r>
      <w:r w:rsidR="00610BD4">
        <w:t>L</w:t>
      </w:r>
      <w:r w:rsidR="008B1B56">
        <w:t xml:space="preserve">earning </w:t>
      </w:r>
      <w:r w:rsidR="00610BD4">
        <w:t>Directorate</w:t>
      </w:r>
    </w:p>
    <w:p w:rsidR="00C253AF" w:rsidRDefault="00C253AF" w:rsidP="00C253AF">
      <w:pPr>
        <w:ind w:left="2268" w:hanging="2268"/>
        <w:jc w:val="both"/>
        <w:rPr>
          <w:b/>
        </w:rPr>
      </w:pPr>
      <w:r w:rsidRPr="00C253AF">
        <w:rPr>
          <w:b/>
        </w:rPr>
        <w:t>Teaching and Learning</w:t>
      </w:r>
    </w:p>
    <w:p w:rsidR="008B1B56" w:rsidRDefault="002E3107" w:rsidP="00F226F5">
      <w:pPr>
        <w:pStyle w:val="ListParagraph"/>
        <w:numPr>
          <w:ilvl w:val="0"/>
          <w:numId w:val="11"/>
        </w:numPr>
        <w:spacing w:after="100" w:afterAutospacing="1" w:line="240" w:lineRule="auto"/>
      </w:pPr>
      <w:r>
        <w:t>T</w:t>
      </w:r>
      <w:r w:rsidR="008B1B56">
        <w:t>o m</w:t>
      </w:r>
      <w:r w:rsidR="00536BA9">
        <w:t>onitor</w:t>
      </w:r>
      <w:r w:rsidR="008B1B56" w:rsidRPr="002F2B3F">
        <w:t xml:space="preserve"> standards of achievement through </w:t>
      </w:r>
      <w:r w:rsidR="008B1B56">
        <w:t xml:space="preserve">regular </w:t>
      </w:r>
      <w:r w:rsidR="008B1B56" w:rsidRPr="002F2B3F">
        <w:t>lesson observations</w:t>
      </w:r>
      <w:r w:rsidR="008B1B56">
        <w:t xml:space="preserve"> and looking at students work </w:t>
      </w:r>
    </w:p>
    <w:p w:rsidR="008B1B56" w:rsidRDefault="002E3107" w:rsidP="00F226F5">
      <w:pPr>
        <w:pStyle w:val="ListParagraph"/>
        <w:numPr>
          <w:ilvl w:val="0"/>
          <w:numId w:val="11"/>
        </w:numPr>
        <w:spacing w:after="100" w:afterAutospacing="1" w:line="240" w:lineRule="auto"/>
      </w:pPr>
      <w:r>
        <w:t>T</w:t>
      </w:r>
      <w:r w:rsidR="008B1B56">
        <w:t xml:space="preserve">o ensure that students in the </w:t>
      </w:r>
      <w:r w:rsidR="008A6932">
        <w:rPr>
          <w:rFonts w:cs="Calibri"/>
        </w:rPr>
        <w:t>Maths</w:t>
      </w:r>
      <w:r w:rsidR="008B1B56" w:rsidRPr="00730B0C">
        <w:t xml:space="preserve"> area</w:t>
      </w:r>
      <w:r w:rsidR="008B1B56">
        <w:t xml:space="preserve"> are set challenging targets and that they are shared with students on a regular basis </w:t>
      </w:r>
    </w:p>
    <w:p w:rsidR="008B1B56" w:rsidRDefault="002E3107" w:rsidP="00F226F5">
      <w:pPr>
        <w:pStyle w:val="ListParagraph"/>
        <w:numPr>
          <w:ilvl w:val="0"/>
          <w:numId w:val="11"/>
        </w:numPr>
        <w:spacing w:after="100" w:afterAutospacing="1" w:line="240" w:lineRule="auto"/>
      </w:pPr>
      <w:r>
        <w:t>T</w:t>
      </w:r>
      <w:r w:rsidR="008B1B56">
        <w:t>o ensure that the quality of lesson plans, the use of assessment and homework set are of the highest quality</w:t>
      </w:r>
    </w:p>
    <w:p w:rsidR="008B1B56" w:rsidRDefault="002E3107" w:rsidP="00F226F5">
      <w:pPr>
        <w:pStyle w:val="ListParagraph"/>
        <w:numPr>
          <w:ilvl w:val="0"/>
          <w:numId w:val="11"/>
        </w:numPr>
        <w:spacing w:after="100" w:afterAutospacing="1" w:line="240" w:lineRule="auto"/>
      </w:pPr>
      <w:r>
        <w:t>T</w:t>
      </w:r>
      <w:r w:rsidR="008B1B56">
        <w:t>o develop positive approaches to teaching and learning so that students have every opportunity to become confident and positive learners, enthusiastic about their own progress and place in society</w:t>
      </w:r>
    </w:p>
    <w:p w:rsidR="008B1B56" w:rsidRPr="00AA2547" w:rsidRDefault="002E3107" w:rsidP="00F226F5">
      <w:pPr>
        <w:pStyle w:val="Footer"/>
        <w:numPr>
          <w:ilvl w:val="0"/>
          <w:numId w:val="11"/>
        </w:numPr>
        <w:tabs>
          <w:tab w:val="clear" w:pos="4513"/>
          <w:tab w:val="clear" w:pos="9026"/>
          <w:tab w:val="center" w:pos="4153"/>
          <w:tab w:val="right" w:pos="8306"/>
        </w:tabs>
        <w:rPr>
          <w:rFonts w:cs="Arial"/>
        </w:rPr>
      </w:pPr>
      <w:r>
        <w:t>T</w:t>
      </w:r>
      <w:r w:rsidR="008B1B56" w:rsidRPr="00D00144">
        <w:t>o support colleagues within the</w:t>
      </w:r>
      <w:r w:rsidR="008A6932">
        <w:t xml:space="preserve"> </w:t>
      </w:r>
      <w:r w:rsidR="008A6932">
        <w:rPr>
          <w:rFonts w:cs="Calibri"/>
        </w:rPr>
        <w:t>Maths</w:t>
      </w:r>
      <w:r w:rsidR="008B1B56" w:rsidRPr="00610BD4">
        <w:rPr>
          <w:color w:val="FF0000"/>
        </w:rPr>
        <w:t xml:space="preserve"> </w:t>
      </w:r>
      <w:r w:rsidR="008B1B56">
        <w:t xml:space="preserve">area </w:t>
      </w:r>
      <w:r w:rsidR="008B1B56" w:rsidRPr="00D00144">
        <w:t xml:space="preserve">so that appropriate standards of behaviour are established and maintained </w:t>
      </w:r>
    </w:p>
    <w:p w:rsidR="008B1B56" w:rsidRDefault="002E3107" w:rsidP="00F226F5">
      <w:pPr>
        <w:pStyle w:val="Footer"/>
        <w:numPr>
          <w:ilvl w:val="0"/>
          <w:numId w:val="11"/>
        </w:numPr>
        <w:tabs>
          <w:tab w:val="clear" w:pos="4513"/>
          <w:tab w:val="clear" w:pos="9026"/>
          <w:tab w:val="center" w:pos="4153"/>
          <w:tab w:val="right" w:pos="8306"/>
        </w:tabs>
        <w:rPr>
          <w:rFonts w:cs="Arial"/>
        </w:rPr>
      </w:pPr>
      <w:r>
        <w:rPr>
          <w:rFonts w:cs="Arial"/>
        </w:rPr>
        <w:t xml:space="preserve">To </w:t>
      </w:r>
      <w:r w:rsidR="008B1B56">
        <w:rPr>
          <w:rFonts w:cs="Arial"/>
        </w:rPr>
        <w:t>d</w:t>
      </w:r>
      <w:r w:rsidR="008B1B56" w:rsidRPr="00AA2547">
        <w:rPr>
          <w:rFonts w:cs="Arial"/>
        </w:rPr>
        <w:t>evelop, implement, monitor and review schemes of work regularly to ensure that they are up to date</w:t>
      </w:r>
      <w:r w:rsidR="00610BD4">
        <w:rPr>
          <w:rFonts w:cs="Arial"/>
        </w:rPr>
        <w:t xml:space="preserve"> and</w:t>
      </w:r>
      <w:r w:rsidR="008B1B56" w:rsidRPr="00AA2547">
        <w:rPr>
          <w:rFonts w:cs="Arial"/>
        </w:rPr>
        <w:t xml:space="preserve"> consistent with the Academy’s</w:t>
      </w:r>
      <w:r w:rsidR="00610BD4">
        <w:rPr>
          <w:rFonts w:cs="Arial"/>
        </w:rPr>
        <w:t xml:space="preserve"> framework</w:t>
      </w:r>
      <w:r w:rsidR="008B1B56" w:rsidRPr="00AA2547">
        <w:rPr>
          <w:rFonts w:cs="Arial"/>
        </w:rPr>
        <w:t xml:space="preserve"> </w:t>
      </w:r>
    </w:p>
    <w:p w:rsidR="00610BD4" w:rsidRPr="00AA2547" w:rsidRDefault="002E3107" w:rsidP="00F226F5">
      <w:pPr>
        <w:pStyle w:val="Footer"/>
        <w:numPr>
          <w:ilvl w:val="0"/>
          <w:numId w:val="11"/>
        </w:numPr>
        <w:tabs>
          <w:tab w:val="clear" w:pos="4513"/>
          <w:tab w:val="clear" w:pos="9026"/>
          <w:tab w:val="center" w:pos="4153"/>
          <w:tab w:val="right" w:pos="8306"/>
        </w:tabs>
        <w:rPr>
          <w:rFonts w:cs="Arial"/>
        </w:rPr>
      </w:pPr>
      <w:r>
        <w:rPr>
          <w:rFonts w:cs="Arial"/>
        </w:rPr>
        <w:t>T</w:t>
      </w:r>
      <w:r w:rsidR="00610BD4">
        <w:rPr>
          <w:rFonts w:cs="Arial"/>
        </w:rPr>
        <w:t xml:space="preserve">o develop the </w:t>
      </w:r>
      <w:r>
        <w:rPr>
          <w:rFonts w:cs="Arial"/>
        </w:rPr>
        <w:t xml:space="preserve">delivery of the specialism </w:t>
      </w:r>
      <w:r w:rsidR="008A6932">
        <w:rPr>
          <w:rFonts w:cs="Arial"/>
        </w:rPr>
        <w:t xml:space="preserve">within </w:t>
      </w:r>
      <w:r w:rsidR="008A6932">
        <w:rPr>
          <w:rFonts w:cs="Calibri"/>
        </w:rPr>
        <w:t>Maths</w:t>
      </w:r>
    </w:p>
    <w:p w:rsidR="008B1B56" w:rsidRPr="001A171B" w:rsidRDefault="002E3107" w:rsidP="00F226F5">
      <w:pPr>
        <w:pStyle w:val="Footer"/>
        <w:numPr>
          <w:ilvl w:val="0"/>
          <w:numId w:val="11"/>
        </w:numPr>
        <w:tabs>
          <w:tab w:val="clear" w:pos="4513"/>
          <w:tab w:val="clear" w:pos="9026"/>
        </w:tabs>
        <w:rPr>
          <w:rFonts w:cs="Arial"/>
          <w:sz w:val="23"/>
          <w:szCs w:val="23"/>
        </w:rPr>
      </w:pPr>
      <w:r>
        <w:rPr>
          <w:rFonts w:cs="Arial"/>
        </w:rPr>
        <w:t xml:space="preserve">To </w:t>
      </w:r>
      <w:r w:rsidR="008B1B56">
        <w:rPr>
          <w:rFonts w:cs="Arial"/>
        </w:rPr>
        <w:t>d</w:t>
      </w:r>
      <w:r w:rsidR="008B1B56" w:rsidRPr="00D00144">
        <w:rPr>
          <w:rFonts w:cs="Arial"/>
        </w:rPr>
        <w:t>evelop, implement, monitor and r</w:t>
      </w:r>
      <w:r w:rsidR="00F226F5">
        <w:rPr>
          <w:rFonts w:cs="Arial"/>
        </w:rPr>
        <w:t xml:space="preserve">eview the use of ICT within </w:t>
      </w:r>
      <w:r w:rsidR="008A6932">
        <w:rPr>
          <w:rFonts w:cs="Calibri"/>
        </w:rPr>
        <w:t>Maths</w:t>
      </w:r>
    </w:p>
    <w:p w:rsidR="008B1B56" w:rsidRDefault="002E3107" w:rsidP="00F226F5">
      <w:pPr>
        <w:pStyle w:val="Footer"/>
        <w:numPr>
          <w:ilvl w:val="0"/>
          <w:numId w:val="11"/>
        </w:numPr>
        <w:tabs>
          <w:tab w:val="clear" w:pos="4513"/>
          <w:tab w:val="clear" w:pos="9026"/>
          <w:tab w:val="center" w:pos="4153"/>
          <w:tab w:val="right" w:pos="8306"/>
        </w:tabs>
        <w:rPr>
          <w:rFonts w:cs="Arial"/>
        </w:rPr>
      </w:pPr>
      <w:r>
        <w:rPr>
          <w:rFonts w:cs="Arial"/>
          <w:sz w:val="23"/>
          <w:szCs w:val="23"/>
        </w:rPr>
        <w:lastRenderedPageBreak/>
        <w:t xml:space="preserve">To </w:t>
      </w:r>
      <w:r w:rsidR="008B1B56">
        <w:rPr>
          <w:rFonts w:cs="Arial"/>
          <w:sz w:val="23"/>
          <w:szCs w:val="23"/>
        </w:rPr>
        <w:t>e</w:t>
      </w:r>
      <w:r w:rsidR="008B1B56" w:rsidRPr="00E630A2">
        <w:rPr>
          <w:rFonts w:cs="Arial"/>
          <w:sz w:val="23"/>
          <w:szCs w:val="23"/>
        </w:rPr>
        <w:t>nsure that all aspects of the</w:t>
      </w:r>
      <w:r w:rsidR="008B1B56">
        <w:rPr>
          <w:rFonts w:cs="Arial"/>
          <w:sz w:val="23"/>
          <w:szCs w:val="23"/>
        </w:rPr>
        <w:t xml:space="preserve"> students</w:t>
      </w:r>
      <w:r w:rsidR="008B1B56" w:rsidRPr="00E630A2">
        <w:rPr>
          <w:rFonts w:cs="Arial"/>
          <w:sz w:val="23"/>
          <w:szCs w:val="23"/>
        </w:rPr>
        <w:t xml:space="preserve"> </w:t>
      </w:r>
      <w:r w:rsidR="008B1B56" w:rsidRPr="00730B0C">
        <w:rPr>
          <w:rFonts w:cs="Arial"/>
          <w:sz w:val="23"/>
          <w:szCs w:val="23"/>
        </w:rPr>
        <w:t xml:space="preserve">achievements in </w:t>
      </w:r>
      <w:r w:rsidR="008A6932">
        <w:rPr>
          <w:rFonts w:cs="Calibri"/>
        </w:rPr>
        <w:t>Maths</w:t>
      </w:r>
      <w:r w:rsidR="008B1B56" w:rsidRPr="00730B0C">
        <w:rPr>
          <w:rFonts w:cs="Arial"/>
          <w:sz w:val="23"/>
          <w:szCs w:val="23"/>
        </w:rPr>
        <w:t xml:space="preserve"> are</w:t>
      </w:r>
      <w:r w:rsidR="008B1B56" w:rsidRPr="00E630A2">
        <w:rPr>
          <w:rFonts w:cs="Arial"/>
          <w:sz w:val="23"/>
          <w:szCs w:val="23"/>
        </w:rPr>
        <w:t xml:space="preserve"> monitored and evaluated </w:t>
      </w:r>
      <w:r w:rsidR="008B1B56" w:rsidRPr="00E630A2">
        <w:rPr>
          <w:rFonts w:cs="Arial"/>
        </w:rPr>
        <w:t>and</w:t>
      </w:r>
      <w:r w:rsidR="008B1B56">
        <w:rPr>
          <w:rFonts w:cs="Arial"/>
        </w:rPr>
        <w:t xml:space="preserve"> this information is</w:t>
      </w:r>
      <w:r w:rsidR="008B1B56" w:rsidRPr="00E630A2">
        <w:rPr>
          <w:rFonts w:cs="Arial"/>
        </w:rPr>
        <w:t xml:space="preserve"> use</w:t>
      </w:r>
      <w:r w:rsidR="008B1B56">
        <w:rPr>
          <w:rFonts w:cs="Arial"/>
        </w:rPr>
        <w:t>d</w:t>
      </w:r>
      <w:r w:rsidR="008B1B56" w:rsidRPr="00E630A2">
        <w:rPr>
          <w:rFonts w:cs="Arial"/>
        </w:rPr>
        <w:t xml:space="preserve"> to inform priorities and targets for improvement</w:t>
      </w:r>
    </w:p>
    <w:p w:rsidR="008B1B56" w:rsidRDefault="002E3107" w:rsidP="00F226F5">
      <w:pPr>
        <w:pStyle w:val="Footer"/>
        <w:numPr>
          <w:ilvl w:val="0"/>
          <w:numId w:val="11"/>
        </w:numPr>
        <w:tabs>
          <w:tab w:val="clear" w:pos="4513"/>
          <w:tab w:val="clear" w:pos="9026"/>
          <w:tab w:val="center" w:pos="4153"/>
          <w:tab w:val="right" w:pos="8306"/>
        </w:tabs>
        <w:rPr>
          <w:rFonts w:cs="Arial"/>
        </w:rPr>
      </w:pPr>
      <w:r>
        <w:rPr>
          <w:rFonts w:cs="Arial"/>
        </w:rPr>
        <w:t xml:space="preserve">To </w:t>
      </w:r>
      <w:r w:rsidR="008B1B56">
        <w:rPr>
          <w:rFonts w:cs="Arial"/>
        </w:rPr>
        <w:t>m</w:t>
      </w:r>
      <w:r w:rsidR="008B1B56" w:rsidRPr="00E630A2">
        <w:rPr>
          <w:rFonts w:cs="Arial"/>
        </w:rPr>
        <w:t xml:space="preserve">onitor the progress of all students and </w:t>
      </w:r>
      <w:r w:rsidR="008B1B56" w:rsidRPr="00730B0C">
        <w:rPr>
          <w:rFonts w:cs="Arial"/>
        </w:rPr>
        <w:t xml:space="preserve">classes in </w:t>
      </w:r>
      <w:r w:rsidR="008A6932">
        <w:rPr>
          <w:rFonts w:cs="Calibri"/>
        </w:rPr>
        <w:t>Maths</w:t>
      </w:r>
      <w:r w:rsidR="008B1B56" w:rsidRPr="00730B0C">
        <w:rPr>
          <w:rFonts w:cs="Arial"/>
        </w:rPr>
        <w:t xml:space="preserve"> – including</w:t>
      </w:r>
      <w:r w:rsidR="008B1B56" w:rsidRPr="00E630A2">
        <w:rPr>
          <w:rFonts w:cs="Arial"/>
        </w:rPr>
        <w:t xml:space="preserve"> </w:t>
      </w:r>
      <w:r w:rsidR="008B1B56">
        <w:rPr>
          <w:rFonts w:cs="Arial"/>
        </w:rPr>
        <w:t xml:space="preserve">those able and talented, with special educational needs and liaise with the </w:t>
      </w:r>
      <w:r>
        <w:rPr>
          <w:rFonts w:cs="Arial"/>
        </w:rPr>
        <w:t>Director</w:t>
      </w:r>
      <w:r w:rsidR="008B1B56">
        <w:rPr>
          <w:rFonts w:cs="Arial"/>
        </w:rPr>
        <w:t xml:space="preserve"> of the </w:t>
      </w:r>
      <w:r>
        <w:rPr>
          <w:rFonts w:cs="Arial"/>
        </w:rPr>
        <w:t>L</w:t>
      </w:r>
      <w:r w:rsidR="008B1B56">
        <w:rPr>
          <w:rFonts w:cs="Arial"/>
        </w:rPr>
        <w:t xml:space="preserve">earning </w:t>
      </w:r>
      <w:r>
        <w:rPr>
          <w:rFonts w:cs="Arial"/>
        </w:rPr>
        <w:t>Directorate</w:t>
      </w:r>
      <w:r w:rsidR="008B1B56" w:rsidRPr="00E630A2">
        <w:rPr>
          <w:rFonts w:cs="Arial"/>
        </w:rPr>
        <w:t xml:space="preserve"> to ensure the right support is put in place</w:t>
      </w:r>
    </w:p>
    <w:p w:rsidR="008B1B56" w:rsidRDefault="002E3107" w:rsidP="00F226F5">
      <w:pPr>
        <w:pStyle w:val="Footer"/>
        <w:numPr>
          <w:ilvl w:val="0"/>
          <w:numId w:val="11"/>
        </w:numPr>
        <w:tabs>
          <w:tab w:val="clear" w:pos="4513"/>
          <w:tab w:val="clear" w:pos="9026"/>
          <w:tab w:val="center" w:pos="4153"/>
          <w:tab w:val="right" w:pos="8306"/>
        </w:tabs>
        <w:rPr>
          <w:rFonts w:cs="Arial"/>
        </w:rPr>
      </w:pPr>
      <w:r>
        <w:rPr>
          <w:rFonts w:cs="Arial"/>
        </w:rPr>
        <w:t>W</w:t>
      </w:r>
      <w:r w:rsidR="008B1B56">
        <w:rPr>
          <w:rFonts w:cs="Arial"/>
        </w:rPr>
        <w:t xml:space="preserve">ith the </w:t>
      </w:r>
      <w:r>
        <w:rPr>
          <w:rFonts w:cs="Arial"/>
        </w:rPr>
        <w:t>Achievement Managers</w:t>
      </w:r>
      <w:r w:rsidR="008B1B56">
        <w:rPr>
          <w:rFonts w:cs="Arial"/>
        </w:rPr>
        <w:t xml:space="preserve">, identify students who are </w:t>
      </w:r>
      <w:r w:rsidR="008B1B56" w:rsidRPr="00E630A2">
        <w:rPr>
          <w:rFonts w:cs="Arial"/>
        </w:rPr>
        <w:t xml:space="preserve">underachieving and where necessary create and implement effective plans to </w:t>
      </w:r>
      <w:r w:rsidR="008B1B56">
        <w:rPr>
          <w:rFonts w:cs="Arial"/>
        </w:rPr>
        <w:t xml:space="preserve">support those students. </w:t>
      </w:r>
    </w:p>
    <w:p w:rsidR="002E3107" w:rsidRDefault="002E3107" w:rsidP="00C253AF">
      <w:pPr>
        <w:ind w:left="2268" w:hanging="2268"/>
        <w:jc w:val="both"/>
        <w:rPr>
          <w:b/>
        </w:rPr>
      </w:pPr>
    </w:p>
    <w:p w:rsidR="00C253AF" w:rsidRDefault="00C253AF" w:rsidP="00C253AF">
      <w:pPr>
        <w:ind w:left="2268" w:hanging="2268"/>
        <w:jc w:val="both"/>
        <w:rPr>
          <w:b/>
        </w:rPr>
      </w:pPr>
      <w:r w:rsidRPr="00C253AF">
        <w:rPr>
          <w:b/>
        </w:rPr>
        <w:t>Management of the Academy</w:t>
      </w:r>
    </w:p>
    <w:p w:rsidR="008B1B56" w:rsidRDefault="002E3107" w:rsidP="00F226F5">
      <w:pPr>
        <w:pStyle w:val="ListParagraph"/>
        <w:numPr>
          <w:ilvl w:val="0"/>
          <w:numId w:val="12"/>
        </w:numPr>
        <w:spacing w:after="100" w:afterAutospacing="1" w:line="240" w:lineRule="auto"/>
      </w:pPr>
      <w:r>
        <w:t>T</w:t>
      </w:r>
      <w:r w:rsidR="008B1B56">
        <w:t xml:space="preserve">o apply best value for money principles to secure resources for </w:t>
      </w:r>
      <w:r w:rsidR="008A6932">
        <w:rPr>
          <w:rFonts w:cs="Calibri"/>
        </w:rPr>
        <w:t>Maths</w:t>
      </w:r>
    </w:p>
    <w:p w:rsidR="008B1B56" w:rsidRDefault="002E3107" w:rsidP="00F226F5">
      <w:pPr>
        <w:pStyle w:val="ListParagraph"/>
        <w:numPr>
          <w:ilvl w:val="0"/>
          <w:numId w:val="12"/>
        </w:numPr>
        <w:spacing w:after="100" w:afterAutospacing="1" w:line="240" w:lineRule="auto"/>
      </w:pPr>
      <w:r>
        <w:t>T</w:t>
      </w:r>
      <w:r w:rsidR="008B1B56">
        <w:t xml:space="preserve">o seek extra funding to support the development </w:t>
      </w:r>
      <w:r w:rsidR="008B1B56" w:rsidRPr="00730B0C">
        <w:t xml:space="preserve">the </w:t>
      </w:r>
      <w:r w:rsidR="008A6932">
        <w:rPr>
          <w:rFonts w:cs="Calibri"/>
        </w:rPr>
        <w:t>Maths</w:t>
      </w:r>
      <w:r w:rsidR="008B1B56" w:rsidRPr="00730B0C">
        <w:t xml:space="preserve"> area</w:t>
      </w:r>
    </w:p>
    <w:p w:rsidR="002F13A9" w:rsidRDefault="002E3107" w:rsidP="00F226F5">
      <w:pPr>
        <w:pStyle w:val="ListParagraph"/>
        <w:numPr>
          <w:ilvl w:val="0"/>
          <w:numId w:val="12"/>
        </w:numPr>
        <w:spacing w:after="100" w:afterAutospacing="1" w:line="240" w:lineRule="auto"/>
      </w:pPr>
      <w:r>
        <w:t>T</w:t>
      </w:r>
      <w:r w:rsidR="002F13A9">
        <w:t>o ensure that the accommodation provides a positive and safe environment which promotes well being and high achievement for all in the Academy</w:t>
      </w:r>
    </w:p>
    <w:p w:rsidR="002F13A9" w:rsidRDefault="002E3107" w:rsidP="00F226F5">
      <w:pPr>
        <w:pStyle w:val="ListParagraph"/>
        <w:numPr>
          <w:ilvl w:val="0"/>
          <w:numId w:val="12"/>
        </w:numPr>
        <w:spacing w:after="100" w:afterAutospacing="1" w:line="240" w:lineRule="auto"/>
      </w:pPr>
      <w:r>
        <w:t>T</w:t>
      </w:r>
      <w:r w:rsidR="002F13A9">
        <w:t>o use every opportunity to create a positive and memorab</w:t>
      </w:r>
      <w:r w:rsidR="00F226F5">
        <w:t xml:space="preserve">le learning environment within </w:t>
      </w:r>
      <w:r w:rsidR="008A6932">
        <w:rPr>
          <w:rFonts w:cs="Calibri"/>
        </w:rPr>
        <w:t>Maths</w:t>
      </w:r>
    </w:p>
    <w:p w:rsidR="00C253AF" w:rsidRDefault="00C253AF" w:rsidP="00C253AF">
      <w:pPr>
        <w:ind w:left="2268" w:hanging="2268"/>
        <w:jc w:val="both"/>
        <w:rPr>
          <w:b/>
        </w:rPr>
      </w:pPr>
      <w:r w:rsidRPr="00C253AF">
        <w:rPr>
          <w:b/>
        </w:rPr>
        <w:t>Community and Partnerships</w:t>
      </w:r>
    </w:p>
    <w:p w:rsidR="002F13A9" w:rsidRDefault="002F13A9" w:rsidP="00F226F5">
      <w:pPr>
        <w:pStyle w:val="ListParagraph"/>
        <w:numPr>
          <w:ilvl w:val="0"/>
          <w:numId w:val="13"/>
        </w:numPr>
        <w:spacing w:after="100" w:afterAutospacing="1" w:line="240" w:lineRule="auto"/>
      </w:pPr>
      <w:r>
        <w:t>to work closely and in partnership with the  Executive Board to ensure the successful ongoing development of the Academy</w:t>
      </w:r>
    </w:p>
    <w:p w:rsidR="002F13A9" w:rsidRPr="00F226F5" w:rsidRDefault="002E3107" w:rsidP="00F226F5">
      <w:pPr>
        <w:pStyle w:val="ListParagraph"/>
        <w:numPr>
          <w:ilvl w:val="0"/>
          <w:numId w:val="13"/>
        </w:numPr>
        <w:spacing w:after="0"/>
        <w:jc w:val="both"/>
        <w:rPr>
          <w:b/>
        </w:rPr>
      </w:pPr>
      <w:r>
        <w:t>S</w:t>
      </w:r>
      <w:r w:rsidR="002F13A9">
        <w:t>eek curriculum links with businesses, HE/FE, other schools particularly to promote the Academy specialisms</w:t>
      </w:r>
    </w:p>
    <w:p w:rsidR="002E3107" w:rsidRDefault="002E3107" w:rsidP="00C253AF">
      <w:pPr>
        <w:ind w:left="2268" w:hanging="2268"/>
        <w:jc w:val="both"/>
        <w:rPr>
          <w:b/>
        </w:rPr>
      </w:pPr>
    </w:p>
    <w:p w:rsidR="00C253AF" w:rsidRDefault="00C253AF" w:rsidP="00C253AF">
      <w:pPr>
        <w:ind w:left="2268" w:hanging="2268"/>
        <w:jc w:val="both"/>
        <w:rPr>
          <w:b/>
        </w:rPr>
      </w:pPr>
      <w:r w:rsidRPr="00C253AF">
        <w:rPr>
          <w:b/>
        </w:rPr>
        <w:t>Developing Self and Working with Others</w:t>
      </w:r>
    </w:p>
    <w:p w:rsidR="002F13A9" w:rsidRDefault="002F13A9" w:rsidP="00F226F5">
      <w:pPr>
        <w:pStyle w:val="ListParagraph"/>
        <w:numPr>
          <w:ilvl w:val="0"/>
          <w:numId w:val="14"/>
        </w:numPr>
        <w:spacing w:after="100" w:afterAutospacing="1" w:line="240" w:lineRule="auto"/>
      </w:pPr>
      <w:r>
        <w:t>to a</w:t>
      </w:r>
      <w:r w:rsidRPr="00572FD3">
        <w:t>ssist in the appointment of staff follow</w:t>
      </w:r>
      <w:r>
        <w:t>ing the Safer Recruitment Policy</w:t>
      </w:r>
    </w:p>
    <w:p w:rsidR="002F13A9" w:rsidRDefault="002F13A9" w:rsidP="00F226F5">
      <w:pPr>
        <w:pStyle w:val="ListParagraph"/>
        <w:numPr>
          <w:ilvl w:val="0"/>
          <w:numId w:val="14"/>
        </w:numPr>
        <w:spacing w:after="100" w:afterAutospacing="1" w:line="240" w:lineRule="auto"/>
      </w:pPr>
      <w:r>
        <w:t>to support the in</w:t>
      </w:r>
      <w:r w:rsidR="00F226F5">
        <w:t>duc</w:t>
      </w:r>
      <w:r w:rsidR="008A6932">
        <w:t xml:space="preserve">tion of new staff within </w:t>
      </w:r>
      <w:r w:rsidR="008A6932">
        <w:rPr>
          <w:rFonts w:cs="Calibri"/>
        </w:rPr>
        <w:t>Maths</w:t>
      </w:r>
    </w:p>
    <w:p w:rsidR="002F13A9" w:rsidRDefault="002F13A9" w:rsidP="00F226F5">
      <w:pPr>
        <w:pStyle w:val="ListParagraph"/>
        <w:numPr>
          <w:ilvl w:val="0"/>
          <w:numId w:val="14"/>
        </w:numPr>
        <w:spacing w:after="100" w:afterAutospacing="1" w:line="240" w:lineRule="auto"/>
      </w:pPr>
      <w:r>
        <w:t>to create and maintain good working relationships among all members of the Academy community</w:t>
      </w:r>
    </w:p>
    <w:p w:rsidR="002F13A9" w:rsidRPr="00730B0C" w:rsidRDefault="002F13A9" w:rsidP="00F226F5">
      <w:pPr>
        <w:pStyle w:val="ListParagraph"/>
        <w:numPr>
          <w:ilvl w:val="0"/>
          <w:numId w:val="14"/>
        </w:numPr>
        <w:spacing w:after="100" w:afterAutospacing="1" w:line="240" w:lineRule="auto"/>
      </w:pPr>
      <w:r>
        <w:t xml:space="preserve">to promote appropriate personal and professional development of all staff in the </w:t>
      </w:r>
      <w:r w:rsidR="008A6932">
        <w:rPr>
          <w:rFonts w:cs="Calibri"/>
        </w:rPr>
        <w:t>Maths</w:t>
      </w:r>
      <w:r w:rsidR="00F226F5" w:rsidRPr="00730B0C">
        <w:t xml:space="preserve"> area</w:t>
      </w:r>
      <w:r w:rsidRPr="00730B0C">
        <w:t>, providing an example through their own development</w:t>
      </w:r>
    </w:p>
    <w:p w:rsidR="00610BD4" w:rsidRPr="00730B0C" w:rsidRDefault="002E3107" w:rsidP="00F226F5">
      <w:pPr>
        <w:pStyle w:val="ListParagraph"/>
        <w:numPr>
          <w:ilvl w:val="0"/>
          <w:numId w:val="14"/>
        </w:numPr>
        <w:spacing w:after="100" w:afterAutospacing="1" w:line="240" w:lineRule="auto"/>
      </w:pPr>
      <w:r w:rsidRPr="00730B0C">
        <w:t xml:space="preserve">to conduct </w:t>
      </w:r>
      <w:r w:rsidR="00610BD4" w:rsidRPr="00730B0C">
        <w:t>performance management</w:t>
      </w:r>
      <w:r w:rsidRPr="00730B0C">
        <w:t xml:space="preserve"> for members within </w:t>
      </w:r>
      <w:r w:rsidR="008A6932">
        <w:rPr>
          <w:rFonts w:cs="Calibri"/>
        </w:rPr>
        <w:t>Maths</w:t>
      </w:r>
    </w:p>
    <w:p w:rsidR="002E3107" w:rsidRPr="00730B0C" w:rsidRDefault="002F13A9" w:rsidP="00F226F5">
      <w:pPr>
        <w:pStyle w:val="ListParagraph"/>
        <w:numPr>
          <w:ilvl w:val="0"/>
          <w:numId w:val="14"/>
        </w:numPr>
        <w:spacing w:after="100" w:afterAutospacing="1" w:line="240" w:lineRule="auto"/>
      </w:pPr>
      <w:r w:rsidRPr="00730B0C">
        <w:t xml:space="preserve">to work with the SENCO to ensure that Individual Education Plans, behaviour and other contracts are implemented to match students’ needs within </w:t>
      </w:r>
      <w:r w:rsidR="00F226F5" w:rsidRPr="00730B0C">
        <w:t xml:space="preserve">English </w:t>
      </w:r>
      <w:r w:rsidR="002E3107" w:rsidRPr="00730B0C">
        <w:t xml:space="preserve">to line manage teachers within </w:t>
      </w:r>
      <w:r w:rsidR="008A6932">
        <w:rPr>
          <w:rFonts w:cs="Calibri"/>
        </w:rPr>
        <w:t>Maths</w:t>
      </w:r>
    </w:p>
    <w:p w:rsidR="002E3107" w:rsidRPr="00730B0C" w:rsidRDefault="002E3107" w:rsidP="00F226F5">
      <w:pPr>
        <w:pStyle w:val="ListParagraph"/>
        <w:numPr>
          <w:ilvl w:val="0"/>
          <w:numId w:val="14"/>
        </w:numPr>
        <w:spacing w:after="100" w:afterAutospacing="1" w:line="240" w:lineRule="auto"/>
      </w:pPr>
      <w:r w:rsidRPr="00730B0C">
        <w:t>to line manage non teachers such as Teaching Assistants within</w:t>
      </w:r>
      <w:r w:rsidR="008A6932">
        <w:t xml:space="preserve"> </w:t>
      </w:r>
      <w:r w:rsidR="008A6932">
        <w:rPr>
          <w:rFonts w:cs="Calibri"/>
        </w:rPr>
        <w:t>Maths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318"/>
        <w:gridCol w:w="2200"/>
      </w:tblGrid>
      <w:tr w:rsidR="00C77561" w:rsidRPr="003C22E1" w:rsidTr="00F9458C">
        <w:trPr>
          <w:trHeight w:val="683"/>
        </w:trPr>
        <w:tc>
          <w:tcPr>
            <w:tcW w:w="5349" w:type="dxa"/>
            <w:tcBorders>
              <w:right w:val="nil"/>
            </w:tcBorders>
            <w:shd w:val="clear" w:color="auto" w:fill="auto"/>
          </w:tcPr>
          <w:p w:rsidR="00C77561" w:rsidRPr="0013042F" w:rsidRDefault="00C77561" w:rsidP="00872332">
            <w:pPr>
              <w:spacing w:after="100" w:afterAutospacing="1" w:line="240" w:lineRule="auto"/>
              <w:rPr>
                <w:rFonts w:ascii="Calibri" w:eastAsia="Calibri" w:hAnsi="Calibri" w:cs="Calibri"/>
                <w:b/>
              </w:rPr>
            </w:pPr>
            <w:r w:rsidRPr="0013042F">
              <w:rPr>
                <w:rFonts w:ascii="Calibri" w:eastAsia="Calibri" w:hAnsi="Calibri" w:cs="Calibri"/>
                <w:b/>
              </w:rPr>
              <w:t xml:space="preserve">Name of Post Holder:  </w:t>
            </w:r>
          </w:p>
        </w:tc>
        <w:tc>
          <w:tcPr>
            <w:tcW w:w="1355" w:type="dxa"/>
            <w:tcBorders>
              <w:left w:val="nil"/>
              <w:right w:val="nil"/>
            </w:tcBorders>
          </w:tcPr>
          <w:p w:rsidR="00C77561" w:rsidRPr="0013042F" w:rsidRDefault="00C77561" w:rsidP="00F9458C">
            <w:pPr>
              <w:spacing w:after="100" w:afterAutospacing="1" w:line="240" w:lineRule="auto"/>
              <w:rPr>
                <w:rFonts w:ascii="Calibri" w:eastAsia="Calibri" w:hAnsi="Calibri" w:cs="Calibri"/>
                <w:b/>
              </w:rPr>
            </w:pPr>
          </w:p>
          <w:p w:rsidR="00C77561" w:rsidRPr="0013042F" w:rsidRDefault="00C77561" w:rsidP="00F9458C">
            <w:pPr>
              <w:spacing w:after="100" w:afterAutospacing="1" w:line="240" w:lineRule="auto"/>
              <w:rPr>
                <w:rFonts w:ascii="Calibri" w:eastAsia="Calibri" w:hAnsi="Calibri" w:cs="Calibri"/>
                <w:b/>
              </w:rPr>
            </w:pPr>
          </w:p>
        </w:tc>
        <w:tc>
          <w:tcPr>
            <w:tcW w:w="2250" w:type="dxa"/>
            <w:tcBorders>
              <w:left w:val="nil"/>
            </w:tcBorders>
            <w:shd w:val="clear" w:color="auto" w:fill="auto"/>
          </w:tcPr>
          <w:p w:rsidR="00C77561" w:rsidRPr="0013042F" w:rsidRDefault="00C77561" w:rsidP="00F9458C">
            <w:pPr>
              <w:spacing w:after="100" w:afterAutospacing="1" w:line="240" w:lineRule="auto"/>
              <w:rPr>
                <w:rFonts w:ascii="Calibri" w:eastAsia="Calibri" w:hAnsi="Calibri" w:cs="Calibri"/>
                <w:b/>
              </w:rPr>
            </w:pPr>
          </w:p>
          <w:p w:rsidR="00C77561" w:rsidRPr="0013042F" w:rsidRDefault="00C77561" w:rsidP="00F9458C">
            <w:pPr>
              <w:spacing w:after="100" w:afterAutospacing="1" w:line="240" w:lineRule="auto"/>
              <w:rPr>
                <w:rFonts w:ascii="Calibri" w:eastAsia="Calibri" w:hAnsi="Calibri" w:cs="Calibri"/>
                <w:b/>
              </w:rPr>
            </w:pPr>
          </w:p>
        </w:tc>
      </w:tr>
      <w:tr w:rsidR="00C77561" w:rsidRPr="003C22E1" w:rsidTr="00F9458C">
        <w:trPr>
          <w:trHeight w:val="682"/>
        </w:trPr>
        <w:tc>
          <w:tcPr>
            <w:tcW w:w="5349" w:type="dxa"/>
            <w:tcBorders>
              <w:right w:val="nil"/>
            </w:tcBorders>
            <w:shd w:val="clear" w:color="auto" w:fill="auto"/>
          </w:tcPr>
          <w:p w:rsidR="00C77561" w:rsidRPr="0013042F" w:rsidRDefault="00C77561" w:rsidP="00F9458C">
            <w:pPr>
              <w:spacing w:after="100" w:afterAutospacing="1" w:line="240" w:lineRule="auto"/>
              <w:rPr>
                <w:rFonts w:ascii="Calibri" w:eastAsia="Calibri" w:hAnsi="Calibri" w:cs="Calibri"/>
                <w:b/>
              </w:rPr>
            </w:pPr>
            <w:r w:rsidRPr="0013042F">
              <w:rPr>
                <w:rFonts w:ascii="Calibri" w:eastAsia="Calibri" w:hAnsi="Calibri" w:cs="Calibri"/>
                <w:b/>
              </w:rPr>
              <w:t>Signature of Post Holder:</w:t>
            </w:r>
          </w:p>
          <w:p w:rsidR="00C77561" w:rsidRPr="0013042F" w:rsidRDefault="00C77561" w:rsidP="00F9458C">
            <w:pPr>
              <w:spacing w:after="100" w:afterAutospacing="1" w:line="240" w:lineRule="auto"/>
              <w:rPr>
                <w:rFonts w:ascii="Calibri" w:eastAsia="Calibri" w:hAnsi="Calibri" w:cs="Calibri"/>
                <w:b/>
              </w:rPr>
            </w:pPr>
          </w:p>
        </w:tc>
        <w:tc>
          <w:tcPr>
            <w:tcW w:w="1355" w:type="dxa"/>
            <w:tcBorders>
              <w:left w:val="nil"/>
            </w:tcBorders>
          </w:tcPr>
          <w:p w:rsidR="00C77561" w:rsidRPr="0013042F" w:rsidRDefault="00C77561" w:rsidP="00F9458C">
            <w:pPr>
              <w:spacing w:after="100" w:afterAutospacing="1" w:line="240" w:lineRule="auto"/>
              <w:rPr>
                <w:rFonts w:ascii="Calibri" w:eastAsia="Calibri" w:hAnsi="Calibri" w:cs="Calibri"/>
                <w:b/>
              </w:rPr>
            </w:pPr>
          </w:p>
        </w:tc>
        <w:tc>
          <w:tcPr>
            <w:tcW w:w="2250" w:type="dxa"/>
            <w:shd w:val="clear" w:color="auto" w:fill="auto"/>
          </w:tcPr>
          <w:p w:rsidR="00C77561" w:rsidRPr="0013042F" w:rsidRDefault="00C77561" w:rsidP="00F9458C">
            <w:pPr>
              <w:spacing w:after="100" w:afterAutospacing="1" w:line="240" w:lineRule="auto"/>
              <w:rPr>
                <w:rFonts w:ascii="Calibri" w:eastAsia="Calibri" w:hAnsi="Calibri" w:cs="Calibri"/>
                <w:b/>
              </w:rPr>
            </w:pPr>
            <w:r w:rsidRPr="0013042F">
              <w:rPr>
                <w:rFonts w:ascii="Calibri" w:eastAsia="Calibri" w:hAnsi="Calibri" w:cs="Calibri"/>
                <w:b/>
              </w:rPr>
              <w:t>Date:</w:t>
            </w:r>
          </w:p>
        </w:tc>
      </w:tr>
    </w:tbl>
    <w:p w:rsidR="00C253AF" w:rsidRDefault="00C253AF"/>
    <w:sectPr w:rsidR="00C253AF" w:rsidSect="000A46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834" w:rsidRDefault="00685834" w:rsidP="00C253AF">
      <w:pPr>
        <w:spacing w:after="0" w:line="240" w:lineRule="auto"/>
      </w:pPr>
      <w:r>
        <w:separator/>
      </w:r>
    </w:p>
  </w:endnote>
  <w:endnote w:type="continuationSeparator" w:id="0">
    <w:p w:rsidR="00685834" w:rsidRDefault="00685834" w:rsidP="00C2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834" w:rsidRDefault="00685834" w:rsidP="00C253AF">
      <w:pPr>
        <w:spacing w:after="0" w:line="240" w:lineRule="auto"/>
      </w:pPr>
      <w:r>
        <w:separator/>
      </w:r>
    </w:p>
  </w:footnote>
  <w:footnote w:type="continuationSeparator" w:id="0">
    <w:p w:rsidR="00685834" w:rsidRDefault="00685834" w:rsidP="00C25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6A7"/>
    <w:multiLevelType w:val="hybridMultilevel"/>
    <w:tmpl w:val="7B38932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55C1F17"/>
    <w:multiLevelType w:val="hybridMultilevel"/>
    <w:tmpl w:val="B752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8107D"/>
    <w:multiLevelType w:val="hybridMultilevel"/>
    <w:tmpl w:val="6532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D4543"/>
    <w:multiLevelType w:val="hybridMultilevel"/>
    <w:tmpl w:val="A35EF31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0AD2748"/>
    <w:multiLevelType w:val="hybridMultilevel"/>
    <w:tmpl w:val="4328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861CD"/>
    <w:multiLevelType w:val="hybridMultilevel"/>
    <w:tmpl w:val="890A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913FD"/>
    <w:multiLevelType w:val="hybridMultilevel"/>
    <w:tmpl w:val="6BEEF26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50B1C58"/>
    <w:multiLevelType w:val="hybridMultilevel"/>
    <w:tmpl w:val="19228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2BD5CBE"/>
    <w:multiLevelType w:val="hybridMultilevel"/>
    <w:tmpl w:val="32A67CC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D1F35E0"/>
    <w:multiLevelType w:val="hybridMultilevel"/>
    <w:tmpl w:val="12CE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3347BA"/>
    <w:multiLevelType w:val="hybridMultilevel"/>
    <w:tmpl w:val="F0AC863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A1B5153"/>
    <w:multiLevelType w:val="hybridMultilevel"/>
    <w:tmpl w:val="2314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263A0"/>
    <w:multiLevelType w:val="hybridMultilevel"/>
    <w:tmpl w:val="596C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F48A7"/>
    <w:multiLevelType w:val="hybridMultilevel"/>
    <w:tmpl w:val="3D9E23B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0"/>
  </w:num>
  <w:num w:numId="3">
    <w:abstractNumId w:val="6"/>
  </w:num>
  <w:num w:numId="4">
    <w:abstractNumId w:val="10"/>
  </w:num>
  <w:num w:numId="5">
    <w:abstractNumId w:val="13"/>
  </w:num>
  <w:num w:numId="6">
    <w:abstractNumId w:val="3"/>
  </w:num>
  <w:num w:numId="7">
    <w:abstractNumId w:val="12"/>
  </w:num>
  <w:num w:numId="8">
    <w:abstractNumId w:val="7"/>
  </w:num>
  <w:num w:numId="9">
    <w:abstractNumId w:val="5"/>
  </w:num>
  <w:num w:numId="10">
    <w:abstractNumId w:val="4"/>
  </w:num>
  <w:num w:numId="11">
    <w:abstractNumId w:val="2"/>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AF"/>
    <w:rsid w:val="000363C9"/>
    <w:rsid w:val="00081272"/>
    <w:rsid w:val="000A4685"/>
    <w:rsid w:val="000B7985"/>
    <w:rsid w:val="000C2019"/>
    <w:rsid w:val="000E51B7"/>
    <w:rsid w:val="000E68D0"/>
    <w:rsid w:val="001B78CD"/>
    <w:rsid w:val="00252BFA"/>
    <w:rsid w:val="0025425C"/>
    <w:rsid w:val="002E3107"/>
    <w:rsid w:val="002F13A9"/>
    <w:rsid w:val="00362703"/>
    <w:rsid w:val="00375A33"/>
    <w:rsid w:val="003B1794"/>
    <w:rsid w:val="003B363F"/>
    <w:rsid w:val="003C572C"/>
    <w:rsid w:val="00442F3F"/>
    <w:rsid w:val="004C2595"/>
    <w:rsid w:val="004E385C"/>
    <w:rsid w:val="004E688A"/>
    <w:rsid w:val="00515323"/>
    <w:rsid w:val="00532DF3"/>
    <w:rsid w:val="00536BA9"/>
    <w:rsid w:val="0054123A"/>
    <w:rsid w:val="00555AE6"/>
    <w:rsid w:val="00610BD4"/>
    <w:rsid w:val="006468A0"/>
    <w:rsid w:val="00685834"/>
    <w:rsid w:val="006C4CEE"/>
    <w:rsid w:val="006F2544"/>
    <w:rsid w:val="00730B0C"/>
    <w:rsid w:val="00740915"/>
    <w:rsid w:val="007A5438"/>
    <w:rsid w:val="00872332"/>
    <w:rsid w:val="008A6932"/>
    <w:rsid w:val="008B1B56"/>
    <w:rsid w:val="008F0BBA"/>
    <w:rsid w:val="009E6849"/>
    <w:rsid w:val="00AC67BC"/>
    <w:rsid w:val="00AE7B77"/>
    <w:rsid w:val="00B34298"/>
    <w:rsid w:val="00B706CA"/>
    <w:rsid w:val="00B82F5F"/>
    <w:rsid w:val="00BB19C2"/>
    <w:rsid w:val="00BD7168"/>
    <w:rsid w:val="00C253AF"/>
    <w:rsid w:val="00C77561"/>
    <w:rsid w:val="00CA52C2"/>
    <w:rsid w:val="00D46134"/>
    <w:rsid w:val="00DC18EB"/>
    <w:rsid w:val="00DD0662"/>
    <w:rsid w:val="00E5278B"/>
    <w:rsid w:val="00F01819"/>
    <w:rsid w:val="00F226F5"/>
    <w:rsid w:val="00F40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62C5"/>
  <w15:docId w15:val="{5B93AF8C-A67A-4B3F-B0A5-08A9F5A5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3AF"/>
  </w:style>
  <w:style w:type="paragraph" w:styleId="Footer">
    <w:name w:val="footer"/>
    <w:basedOn w:val="Normal"/>
    <w:link w:val="FooterChar"/>
    <w:unhideWhenUsed/>
    <w:rsid w:val="00C25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AF"/>
  </w:style>
  <w:style w:type="paragraph" w:styleId="BalloonText">
    <w:name w:val="Balloon Text"/>
    <w:basedOn w:val="Normal"/>
    <w:link w:val="BalloonTextChar"/>
    <w:uiPriority w:val="99"/>
    <w:semiHidden/>
    <w:unhideWhenUsed/>
    <w:rsid w:val="00C25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3AF"/>
    <w:rPr>
      <w:rFonts w:ascii="Tahoma" w:hAnsi="Tahoma" w:cs="Tahoma"/>
      <w:sz w:val="16"/>
      <w:szCs w:val="16"/>
    </w:rPr>
  </w:style>
  <w:style w:type="table" w:styleId="TableGrid">
    <w:name w:val="Table Grid"/>
    <w:basedOn w:val="TableNormal"/>
    <w:rsid w:val="00C253A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 College Durham</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Bethan</dc:creator>
  <cp:lastModifiedBy>Wendy Nichol</cp:lastModifiedBy>
  <cp:revision>2</cp:revision>
  <cp:lastPrinted>2011-08-23T14:21:00Z</cp:lastPrinted>
  <dcterms:created xsi:type="dcterms:W3CDTF">2019-11-05T11:18:00Z</dcterms:created>
  <dcterms:modified xsi:type="dcterms:W3CDTF">2019-11-05T11:18:00Z</dcterms:modified>
</cp:coreProperties>
</file>