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BC1BD" w14:textId="77777777" w:rsidR="004B0719" w:rsidRDefault="00EC6116">
      <w:pPr>
        <w:jc w:val="center"/>
        <w:rPr>
          <w:b/>
        </w:rPr>
      </w:pPr>
      <w:r>
        <w:rPr>
          <w:b/>
          <w:i/>
        </w:rPr>
        <w:t>Job Title</w:t>
      </w:r>
      <w:r>
        <w:rPr>
          <w:b/>
        </w:rPr>
        <w:br/>
        <w:t>Job Description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601FB403" wp14:editId="3B49C649">
            <wp:simplePos x="0" y="0"/>
            <wp:positionH relativeFrom="column">
              <wp:posOffset>-613408</wp:posOffset>
            </wp:positionH>
            <wp:positionV relativeFrom="paragraph">
              <wp:posOffset>-695323</wp:posOffset>
            </wp:positionV>
            <wp:extent cx="2787945" cy="723014"/>
            <wp:effectExtent l="0" t="0" r="0" b="0"/>
            <wp:wrapNone/>
            <wp:docPr id="16" name="image1.png" descr="http://www.sis.ac/uploaded/images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sis.ac/uploaded/images/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7945" cy="7230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3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6378"/>
      </w:tblGrid>
      <w:tr w:rsidR="004B0719" w14:paraId="5C014274" w14:textId="77777777">
        <w:tc>
          <w:tcPr>
            <w:tcW w:w="2802" w:type="dxa"/>
            <w:shd w:val="clear" w:color="auto" w:fill="FFFFFF"/>
          </w:tcPr>
          <w:p w14:paraId="0A5430C7" w14:textId="77777777" w:rsidR="004B0719" w:rsidRDefault="00EC611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Job Title: </w:t>
            </w:r>
          </w:p>
        </w:tc>
        <w:tc>
          <w:tcPr>
            <w:tcW w:w="6378" w:type="dxa"/>
          </w:tcPr>
          <w:p w14:paraId="5ADFEFD9" w14:textId="77777777" w:rsidR="004B0719" w:rsidRDefault="00EC6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Deputy Housemistress</w:t>
            </w:r>
          </w:p>
        </w:tc>
      </w:tr>
      <w:tr w:rsidR="004B0719" w14:paraId="748BC160" w14:textId="77777777">
        <w:tc>
          <w:tcPr>
            <w:tcW w:w="2802" w:type="dxa"/>
            <w:shd w:val="clear" w:color="auto" w:fill="FFFFFF"/>
          </w:tcPr>
          <w:p w14:paraId="375F4830" w14:textId="77777777" w:rsidR="004B0719" w:rsidRDefault="00EC611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Department:</w:t>
            </w:r>
          </w:p>
        </w:tc>
        <w:tc>
          <w:tcPr>
            <w:tcW w:w="6378" w:type="dxa"/>
          </w:tcPr>
          <w:p w14:paraId="5D61306E" w14:textId="77777777" w:rsidR="004B0719" w:rsidRDefault="00EC6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Boarding</w:t>
            </w:r>
          </w:p>
        </w:tc>
      </w:tr>
      <w:tr w:rsidR="004B0719" w14:paraId="30D3A483" w14:textId="77777777">
        <w:tc>
          <w:tcPr>
            <w:tcW w:w="2802" w:type="dxa"/>
            <w:shd w:val="clear" w:color="auto" w:fill="FFFFFF"/>
          </w:tcPr>
          <w:p w14:paraId="308682C7" w14:textId="77777777" w:rsidR="004B0719" w:rsidRDefault="00EC611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Reports to: </w:t>
            </w:r>
          </w:p>
        </w:tc>
        <w:tc>
          <w:tcPr>
            <w:tcW w:w="6378" w:type="dxa"/>
          </w:tcPr>
          <w:p w14:paraId="3353CC5C" w14:textId="77777777" w:rsidR="004B0719" w:rsidRDefault="00EC6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Charles </w:t>
            </w:r>
            <w:proofErr w:type="spellStart"/>
            <w:r>
              <w:rPr>
                <w:sz w:val="24"/>
                <w:szCs w:val="24"/>
              </w:rPr>
              <w:t>Debenham</w:t>
            </w:r>
            <w:proofErr w:type="spellEnd"/>
          </w:p>
        </w:tc>
      </w:tr>
      <w:tr w:rsidR="004B0719" w14:paraId="66897785" w14:textId="77777777">
        <w:tc>
          <w:tcPr>
            <w:tcW w:w="2802" w:type="dxa"/>
            <w:shd w:val="clear" w:color="auto" w:fill="FFFFFF"/>
          </w:tcPr>
          <w:p w14:paraId="425B0D2E" w14:textId="77777777" w:rsidR="004B0719" w:rsidRDefault="00EC611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Location:</w:t>
            </w:r>
          </w:p>
        </w:tc>
        <w:tc>
          <w:tcPr>
            <w:tcW w:w="6378" w:type="dxa"/>
          </w:tcPr>
          <w:p w14:paraId="3A158483" w14:textId="77777777" w:rsidR="004B0719" w:rsidRDefault="00EC6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Club San </w:t>
            </w:r>
            <w:proofErr w:type="spellStart"/>
            <w:r>
              <w:rPr>
                <w:sz w:val="24"/>
                <w:szCs w:val="24"/>
              </w:rPr>
              <w:t>Roque</w:t>
            </w:r>
            <w:proofErr w:type="spellEnd"/>
          </w:p>
        </w:tc>
      </w:tr>
    </w:tbl>
    <w:p w14:paraId="42BB12AA" w14:textId="77777777" w:rsidR="004B0719" w:rsidRDefault="004B0719">
      <w:pPr>
        <w:rPr>
          <w:b/>
        </w:rPr>
      </w:pPr>
    </w:p>
    <w:tbl>
      <w:tblPr>
        <w:tblStyle w:val="a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0"/>
        <w:gridCol w:w="3081"/>
        <w:gridCol w:w="3586"/>
      </w:tblGrid>
      <w:tr w:rsidR="004B0719" w14:paraId="62F8655A" w14:textId="77777777">
        <w:tc>
          <w:tcPr>
            <w:tcW w:w="9747" w:type="dxa"/>
            <w:gridSpan w:val="3"/>
          </w:tcPr>
          <w:p w14:paraId="1DC7EC6F" w14:textId="77777777" w:rsidR="004B0719" w:rsidRDefault="00EC611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Purpose of Role: </w:t>
            </w:r>
          </w:p>
          <w:p w14:paraId="19C62EA6" w14:textId="77777777" w:rsidR="004B0719" w:rsidRDefault="00EC611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Boarding House is committed to providing an excellent standard of pastoral care for all its students.  It provides a safe, secure and stimulating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environment which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enables each member to make the most of his/her opportunities and develop to their full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potential.  The primary role of a Deputy Housemistress is therefore to facilitate the delivery of such an environment.</w:t>
            </w:r>
          </w:p>
        </w:tc>
      </w:tr>
      <w:tr w:rsidR="004B0719" w14:paraId="0E22050E" w14:textId="77777777">
        <w:tc>
          <w:tcPr>
            <w:tcW w:w="3080" w:type="dxa"/>
          </w:tcPr>
          <w:p w14:paraId="6E551FBC" w14:textId="77777777" w:rsidR="004B0719" w:rsidRDefault="00EC611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Budgetary</w:t>
            </w:r>
          </w:p>
          <w:p w14:paraId="52AF5AAB" w14:textId="77777777" w:rsidR="004B0719" w:rsidRDefault="00EC61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Boarding</w:t>
            </w:r>
          </w:p>
        </w:tc>
        <w:tc>
          <w:tcPr>
            <w:tcW w:w="3081" w:type="dxa"/>
          </w:tcPr>
          <w:p w14:paraId="2C363733" w14:textId="77777777" w:rsidR="004B0719" w:rsidRDefault="00EC611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People Management</w:t>
            </w:r>
          </w:p>
          <w:p w14:paraId="36F07AA4" w14:textId="77777777" w:rsidR="004B0719" w:rsidRDefault="00EC61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CED</w:t>
            </w:r>
          </w:p>
          <w:p w14:paraId="429DBA9F" w14:textId="77777777" w:rsidR="004B0719" w:rsidRDefault="00EC61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sz w:val="24"/>
                <w:szCs w:val="24"/>
              </w:rPr>
              <w:t>Boarding Staff</w:t>
            </w:r>
          </w:p>
        </w:tc>
        <w:tc>
          <w:tcPr>
            <w:tcW w:w="3586" w:type="dxa"/>
          </w:tcPr>
          <w:p w14:paraId="380D45D2" w14:textId="77777777" w:rsidR="004B0719" w:rsidRDefault="00EC611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Key Relationships </w:t>
            </w:r>
          </w:p>
          <w:p w14:paraId="703C5DE1" w14:textId="77777777" w:rsidR="004B0719" w:rsidRDefault="00EC61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Boarding</w:t>
            </w:r>
          </w:p>
          <w:p w14:paraId="56EA83B6" w14:textId="77777777" w:rsidR="004B0719" w:rsidRDefault="00EC61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Secondary</w:t>
            </w:r>
          </w:p>
          <w:p w14:paraId="7DCBCA6F" w14:textId="77777777" w:rsidR="004B0719" w:rsidRDefault="004B071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B0719" w14:paraId="4A9FDB23" w14:textId="77777777">
        <w:tc>
          <w:tcPr>
            <w:tcW w:w="9747" w:type="dxa"/>
            <w:gridSpan w:val="3"/>
          </w:tcPr>
          <w:p w14:paraId="4A289FF6" w14:textId="77777777" w:rsidR="004B0719" w:rsidRDefault="00EC6116"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Primary Responsibilities/Activities:</w:t>
            </w:r>
          </w:p>
          <w:tbl>
            <w:tblPr>
              <w:tblStyle w:val="a5"/>
              <w:tblW w:w="9262" w:type="dxa"/>
              <w:tblBorders>
                <w:top w:val="nil"/>
                <w:left w:val="nil"/>
                <w:bottom w:val="nil"/>
                <w:right w:val="nil"/>
                <w:insideH w:val="single" w:sz="4" w:space="0" w:color="FFFFFF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62"/>
            </w:tblGrid>
            <w:tr w:rsidR="004B0719" w14:paraId="38C6BB19" w14:textId="77777777">
              <w:trPr>
                <w:trHeight w:val="1677"/>
              </w:trPr>
              <w:tc>
                <w:tcPr>
                  <w:tcW w:w="9262" w:type="dxa"/>
                </w:tcPr>
                <w:p w14:paraId="138D6AD9" w14:textId="77777777" w:rsidR="004B0719" w:rsidRDefault="00EC61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  <w:u w:val="single"/>
                    </w:rPr>
                    <w:t>Main Responsibilities:</w:t>
                  </w:r>
                </w:p>
                <w:p w14:paraId="3348CF70" w14:textId="77777777" w:rsidR="004B0719" w:rsidRDefault="00EC6116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To provide for the safety, good discipline and pastoral well-being of all students in the boarding community; </w:t>
                  </w:r>
                </w:p>
                <w:p w14:paraId="0B4AD5E8" w14:textId="77777777" w:rsidR="004B0719" w:rsidRDefault="00EC6116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To help in managing the staffing, organisation and resources of the Boarding House; </w:t>
                  </w:r>
                </w:p>
                <w:p w14:paraId="50FCCD11" w14:textId="77777777" w:rsidR="004B0719" w:rsidRDefault="00EC6116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ensure good and effective communic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ation with boarding and teaching staff; </w:t>
                  </w:r>
                </w:p>
                <w:p w14:paraId="0D53F054" w14:textId="77777777" w:rsidR="004B0719" w:rsidRDefault="00EC6116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be the main person of responsibility when the Head of Boarding (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HoB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) is not on duty;</w:t>
                  </w:r>
                </w:p>
                <w:p w14:paraId="68377040" w14:textId="77777777" w:rsidR="004B0719" w:rsidRDefault="00EC6116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To liaise closely with the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HoB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on all Boarding House matters.</w:t>
                  </w:r>
                </w:p>
                <w:p w14:paraId="31DA27C2" w14:textId="77777777" w:rsidR="004B0719" w:rsidRDefault="00EC6116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liaise closely with the Nursing team over medical matters.</w:t>
                  </w:r>
                </w:p>
                <w:p w14:paraId="19341585" w14:textId="77777777" w:rsidR="004B0719" w:rsidRDefault="00EC6116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To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be the key pastoral and academic boarding point of contact for female boarders.</w:t>
                  </w:r>
                </w:p>
                <w:p w14:paraId="7E2A5333" w14:textId="77777777" w:rsidR="004B0719" w:rsidRDefault="004B071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3B047364" w14:textId="77777777" w:rsidR="004B0719" w:rsidRDefault="004B0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6"/>
              <w:tblW w:w="9531" w:type="dxa"/>
              <w:tblBorders>
                <w:top w:val="nil"/>
                <w:left w:val="nil"/>
                <w:bottom w:val="nil"/>
                <w:right w:val="nil"/>
                <w:insideH w:val="single" w:sz="4" w:space="0" w:color="FFFFFF"/>
                <w:insideV w:val="singl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531"/>
            </w:tblGrid>
            <w:tr w:rsidR="004B0719" w14:paraId="2AE0078E" w14:textId="77777777">
              <w:trPr>
                <w:trHeight w:val="4264"/>
              </w:trPr>
              <w:tc>
                <w:tcPr>
                  <w:tcW w:w="9531" w:type="dxa"/>
                </w:tcPr>
                <w:p w14:paraId="34CB9DD8" w14:textId="77777777" w:rsidR="004B0719" w:rsidRDefault="00EC61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  <w:u w:val="single"/>
                    </w:rPr>
                    <w:lastRenderedPageBreak/>
                    <w:t xml:space="preserve">Key Tasks: </w:t>
                  </w:r>
                </w:p>
                <w:p w14:paraId="02732B22" w14:textId="77777777" w:rsidR="004B0719" w:rsidRDefault="00EC6116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be on duty for the equivalent of 3-4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days per week including breakfast shifts,</w:t>
                  </w:r>
                  <w:bookmarkStart w:id="1" w:name="_GoBack"/>
                  <w:bookmarkEnd w:id="1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evenings and weekends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. </w:t>
                  </w:r>
                </w:p>
                <w:p w14:paraId="174A6BA8" w14:textId="77777777" w:rsidR="004B0719" w:rsidRDefault="00EC6116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To create, in association with the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Deputy Housemaster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, a varied programme of extra-curricular activities and ensure that pupils are appropriat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ely occupied both during the school week and weekends;</w:t>
                  </w:r>
                </w:p>
                <w:p w14:paraId="1D10B745" w14:textId="77777777" w:rsidR="004B0719" w:rsidRDefault="00EC6116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To organise, in association with the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HoB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, an effective transport plan and provision for the students within the Boarding House.  This is to include, start, end and half terms;</w:t>
                  </w:r>
                </w:p>
                <w:p w14:paraId="25539521" w14:textId="77777777" w:rsidR="004B0719" w:rsidRDefault="00EC6116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provide the Boarding 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ouse Staff with a clear understanding of their roles and responsibilities under your supervision</w:t>
                  </w:r>
                </w:p>
                <w:p w14:paraId="128CDC45" w14:textId="77777777" w:rsidR="004B0719" w:rsidRDefault="00EC6116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To participate in the programme of induction of new staff into the House as required by the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HoB</w:t>
                  </w:r>
                  <w:proofErr w:type="spellEnd"/>
                </w:p>
                <w:p w14:paraId="40EB0F45" w14:textId="77777777" w:rsidR="004B0719" w:rsidRDefault="00EC6116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attend the Boarding House meeting each week.</w:t>
                  </w:r>
                </w:p>
                <w:p w14:paraId="14B5997E" w14:textId="77777777" w:rsidR="004B0719" w:rsidRDefault="00EC6116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To support the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School's disciplinary policy and, by encouragement and reward and by a clearly understood and fair system of sanctions, foster an acceptance of the code of conduct of the Boarding community and School; </w:t>
                  </w:r>
                </w:p>
                <w:p w14:paraId="15CE3EEF" w14:textId="77777777" w:rsidR="004B0719" w:rsidRDefault="00EC6116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strive to ensure that the individual circumstances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needs, strengths and weaknesses of each student are identified and known by staff as needed, so that individual opportunities, talents and potential are developed and maximised </w:t>
                  </w:r>
                </w:p>
                <w:p w14:paraId="2451073B" w14:textId="77777777" w:rsidR="004B0719" w:rsidRDefault="00EC6116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To take reasonable steps to ensure the safety and security of all pupils at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all times when they are in the Boarding House </w:t>
                  </w:r>
                </w:p>
                <w:p w14:paraId="538F22F2" w14:textId="77777777" w:rsidR="004B0719" w:rsidRDefault="00EC6116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To liaise with the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HoB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and the School Nurse to ensure that pupils' medical requirements are properly catered for </w:t>
                  </w:r>
                </w:p>
                <w:p w14:paraId="353C86D1" w14:textId="77777777" w:rsidR="004B0719" w:rsidRDefault="00EC6116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To encourage pupils to adopt a healthy lifestyle </w:t>
                  </w:r>
                </w:p>
                <w:p w14:paraId="6E0CBECA" w14:textId="77777777" w:rsidR="004B0719" w:rsidRDefault="00EC6116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ensure that pupils treat the belongings of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others, and the fabric and furnishings of the Boarding House, with respect </w:t>
                  </w:r>
                </w:p>
                <w:p w14:paraId="7A00346E" w14:textId="77777777" w:rsidR="004B0719" w:rsidRDefault="00EC6116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To be aware of the academic strengths and weaknesses of pupils; to liaise with Tutors /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HoB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to ensure that relevant background circumstances of pupils are known and discussed </w:t>
                  </w:r>
                </w:p>
                <w:p w14:paraId="74E85346" w14:textId="77777777" w:rsidR="004B0719" w:rsidRDefault="00EC6116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To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support pupils regarding any emotional, academic, social or behavioural problems that they may have </w:t>
                  </w:r>
                </w:p>
                <w:p w14:paraId="0FCF9340" w14:textId="77777777" w:rsidR="004B0719" w:rsidRDefault="00EC6116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fulfil the requirements of the school’s policy on child protection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</w:t>
                  </w:r>
                </w:p>
                <w:p w14:paraId="2950CA9B" w14:textId="77777777" w:rsidR="004B0719" w:rsidRDefault="00EC6116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To plan and implement an annual child wellbeing programme. </w:t>
                  </w:r>
                </w:p>
                <w:p w14:paraId="1B79534F" w14:textId="77777777" w:rsidR="004B0719" w:rsidRDefault="00EC6116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lead, in conjunction with Nursing department, protocol implementation on medical matters.</w:t>
                  </w:r>
                </w:p>
                <w:p w14:paraId="187DBD9E" w14:textId="77777777" w:rsidR="004B0719" w:rsidRDefault="004B071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6F8E8C0E" w14:textId="77777777" w:rsidR="004B0719" w:rsidRDefault="004B0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</w:tc>
      </w:tr>
      <w:tr w:rsidR="004B0719" w14:paraId="57C893CB" w14:textId="77777777">
        <w:tc>
          <w:tcPr>
            <w:tcW w:w="9747" w:type="dxa"/>
            <w:gridSpan w:val="3"/>
          </w:tcPr>
          <w:p w14:paraId="71A6B6D6" w14:textId="77777777" w:rsidR="004B0719" w:rsidRDefault="00EC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Knowledge/Expertise/Qualifications:</w:t>
            </w:r>
          </w:p>
          <w:p w14:paraId="23C129E1" w14:textId="77777777" w:rsidR="004B0719" w:rsidRDefault="00EC61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Teaching Qualification</w:t>
            </w:r>
          </w:p>
          <w:p w14:paraId="44705336" w14:textId="77777777" w:rsidR="004B0719" w:rsidRDefault="00EC61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Exposure to multiple cultures and cultural sensitivity</w:t>
            </w:r>
          </w:p>
          <w:p w14:paraId="24351A7B" w14:textId="77777777" w:rsidR="004B0719" w:rsidRDefault="00EC61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Approachable nature combined with excellent listening skills</w:t>
            </w:r>
          </w:p>
          <w:p w14:paraId="2445AEB0" w14:textId="77777777" w:rsidR="004B0719" w:rsidRDefault="00EC61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Understanding and appreciation of all aspects of boarding life</w:t>
            </w:r>
          </w:p>
          <w:p w14:paraId="204B4CCA" w14:textId="77777777" w:rsidR="004B0719" w:rsidRDefault="00EC61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High standard of personal and professional conduct</w:t>
            </w:r>
          </w:p>
          <w:p w14:paraId="03CD935D" w14:textId="77777777" w:rsidR="004B0719" w:rsidRDefault="00EC61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Flexible and imaginative with the passion to provide students with different life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activities</w:t>
            </w:r>
          </w:p>
          <w:p w14:paraId="009B102F" w14:textId="77777777" w:rsidR="004B0719" w:rsidRDefault="00EC61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Strong organisational skills</w:t>
            </w:r>
          </w:p>
        </w:tc>
      </w:tr>
      <w:tr w:rsidR="004B0719" w14:paraId="3F42E6C3" w14:textId="77777777">
        <w:tc>
          <w:tcPr>
            <w:tcW w:w="9747" w:type="dxa"/>
            <w:gridSpan w:val="3"/>
          </w:tcPr>
          <w:p w14:paraId="44DABFD8" w14:textId="77777777" w:rsidR="004B0719" w:rsidRDefault="00EC611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Business Area</w:t>
            </w:r>
          </w:p>
          <w:p w14:paraId="16FE9265" w14:textId="77777777" w:rsidR="004B0719" w:rsidRDefault="00EC611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Boarding team work in Club San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Roque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 It is a home for the students during term time and some of the teachers are residential.   The San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Roque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Campus is located within 3km of the school but on a separate site.  The San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Roque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Campus aims to support the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values and philosophies of the school and all boarders are encouraged to think about the ‘me’ and ‘we’ values promoted by SIS.</w:t>
            </w:r>
          </w:p>
        </w:tc>
      </w:tr>
    </w:tbl>
    <w:p w14:paraId="049B97EB" w14:textId="77777777" w:rsidR="004B0719" w:rsidRDefault="004B0719"/>
    <w:sectPr w:rsidR="004B0719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13E7"/>
    <w:multiLevelType w:val="multilevel"/>
    <w:tmpl w:val="89D426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72B380B"/>
    <w:multiLevelType w:val="multilevel"/>
    <w:tmpl w:val="83E8FC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3EC74CB"/>
    <w:multiLevelType w:val="multilevel"/>
    <w:tmpl w:val="A8ECF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0719"/>
    <w:rsid w:val="004B0719"/>
    <w:rsid w:val="00EC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461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55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table" w:styleId="TableGrid">
    <w:name w:val="Table Grid"/>
    <w:basedOn w:val="TableNormal"/>
    <w:uiPriority w:val="59"/>
    <w:rsid w:val="00F869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F8696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List-Accent4">
    <w:name w:val="Light List Accent 4"/>
    <w:basedOn w:val="TableNormal"/>
    <w:uiPriority w:val="61"/>
    <w:rsid w:val="00F8696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MediumShading2-Accent4">
    <w:name w:val="Medium Shading 2 Accent 4"/>
    <w:basedOn w:val="TableNormal"/>
    <w:uiPriority w:val="64"/>
    <w:rsid w:val="00F869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8696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4">
    <w:name w:val="Colorful Grid Accent 4"/>
    <w:basedOn w:val="TableNormal"/>
    <w:uiPriority w:val="73"/>
    <w:rsid w:val="00F869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styleId="ListParagraph">
    <w:name w:val="List Paragraph"/>
    <w:basedOn w:val="Normal"/>
    <w:uiPriority w:val="34"/>
    <w:qFormat/>
    <w:rsid w:val="00F869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2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B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B6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B6A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B6A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526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515A90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5DFEC"/>
    </w:tcPr>
  </w:style>
  <w:style w:type="table" w:customStyle="1" w:styleId="a4">
    <w:basedOn w:val="TableNormal"/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5DFEC"/>
    </w:tcPr>
  </w:style>
  <w:style w:type="table" w:customStyle="1" w:styleId="a5">
    <w:basedOn w:val="TableNormal"/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5DFEC"/>
    </w:tcPr>
  </w:style>
  <w:style w:type="table" w:customStyle="1" w:styleId="a6">
    <w:basedOn w:val="TableNormal"/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5DFEC"/>
    </w:tc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55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table" w:styleId="TableGrid">
    <w:name w:val="Table Grid"/>
    <w:basedOn w:val="TableNormal"/>
    <w:uiPriority w:val="59"/>
    <w:rsid w:val="00F869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F8696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List-Accent4">
    <w:name w:val="Light List Accent 4"/>
    <w:basedOn w:val="TableNormal"/>
    <w:uiPriority w:val="61"/>
    <w:rsid w:val="00F8696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MediumShading2-Accent4">
    <w:name w:val="Medium Shading 2 Accent 4"/>
    <w:basedOn w:val="TableNormal"/>
    <w:uiPriority w:val="64"/>
    <w:rsid w:val="00F869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8696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4">
    <w:name w:val="Colorful Grid Accent 4"/>
    <w:basedOn w:val="TableNormal"/>
    <w:uiPriority w:val="73"/>
    <w:rsid w:val="00F869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styleId="ListParagraph">
    <w:name w:val="List Paragraph"/>
    <w:basedOn w:val="Normal"/>
    <w:uiPriority w:val="34"/>
    <w:qFormat/>
    <w:rsid w:val="00F869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2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B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B6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B6A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B6A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526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515A90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5DFEC"/>
    </w:tcPr>
  </w:style>
  <w:style w:type="table" w:customStyle="1" w:styleId="a4">
    <w:basedOn w:val="TableNormal"/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5DFEC"/>
    </w:tcPr>
  </w:style>
  <w:style w:type="table" w:customStyle="1" w:styleId="a5">
    <w:basedOn w:val="TableNormal"/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5DFEC"/>
    </w:tcPr>
  </w:style>
  <w:style w:type="table" w:customStyle="1" w:styleId="a6">
    <w:basedOn w:val="TableNormal"/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5DFEC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LWG82xoT4O4oLlpqYP7plDR1kQ==">AMUW2mXOx4MrMIADWgl8vP8hsbMdbtD4yY9F0JWfjTFEnBP7q5XkUqRfEoaM3oUvcDepAGrHr5FULLrHH9OdQW2zlOuGjTeSIF3ytmEvZ1NPuTTqgNKQyXfhlbBrwtnJAJTYjB/+rhAh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627</Words>
  <Characters>3576</Characters>
  <Application>Microsoft Macintosh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Swindley</dc:creator>
  <cp:lastModifiedBy>TEACHER</cp:lastModifiedBy>
  <cp:revision>2</cp:revision>
  <dcterms:created xsi:type="dcterms:W3CDTF">2016-03-05T15:33:00Z</dcterms:created>
  <dcterms:modified xsi:type="dcterms:W3CDTF">2021-03-24T12:09:00Z</dcterms:modified>
</cp:coreProperties>
</file>