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D755E" w14:textId="77777777" w:rsidR="00CB54A4" w:rsidRDefault="00CB54A4" w:rsidP="007F2E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ED755F" w14:textId="77777777" w:rsidR="0077777A" w:rsidRPr="00DE2C75" w:rsidRDefault="00CB54A4" w:rsidP="00DE2C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E2C75">
        <w:rPr>
          <w:rFonts w:ascii="Arial" w:hAnsi="Arial" w:cs="Arial"/>
          <w:b/>
          <w:sz w:val="32"/>
          <w:szCs w:val="32"/>
        </w:rPr>
        <w:t>BARNET AND SOUTHGATE COLLEGE</w:t>
      </w:r>
    </w:p>
    <w:p w14:paraId="5FED7560" w14:textId="77777777" w:rsidR="00CB54A4" w:rsidRPr="00DE2C75" w:rsidRDefault="00CB54A4" w:rsidP="00DE2C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FED7561" w14:textId="77777777" w:rsidR="00DE2C75" w:rsidRPr="00DE2C75" w:rsidRDefault="00DE2C75" w:rsidP="00DE2C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E2C75">
        <w:rPr>
          <w:rFonts w:ascii="Arial" w:hAnsi="Arial" w:cs="Arial"/>
          <w:b/>
          <w:sz w:val="32"/>
          <w:szCs w:val="32"/>
        </w:rPr>
        <w:t>JOB DESCRIPTION</w:t>
      </w:r>
    </w:p>
    <w:p w14:paraId="5FED7562" w14:textId="77777777" w:rsidR="00DE2C75" w:rsidRDefault="00DE2C75" w:rsidP="00CB54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63" w14:textId="46C126C3" w:rsidR="00DE2C75" w:rsidRDefault="00DE2C75" w:rsidP="00CB54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2C75">
        <w:rPr>
          <w:rFonts w:ascii="Arial" w:hAnsi="Arial" w:cs="Arial"/>
          <w:b/>
          <w:sz w:val="24"/>
          <w:szCs w:val="24"/>
        </w:rPr>
        <w:t>JOB TITLE</w:t>
      </w:r>
      <w:r w:rsidR="00D701C6">
        <w:rPr>
          <w:rFonts w:ascii="Arial" w:hAnsi="Arial" w:cs="Arial"/>
          <w:sz w:val="24"/>
          <w:szCs w:val="24"/>
        </w:rPr>
        <w:t>:</w:t>
      </w:r>
      <w:r w:rsidR="00D701C6">
        <w:rPr>
          <w:rFonts w:ascii="Arial" w:hAnsi="Arial" w:cs="Arial"/>
          <w:sz w:val="24"/>
          <w:szCs w:val="24"/>
        </w:rPr>
        <w:tab/>
      </w:r>
      <w:r w:rsidR="00D701C6">
        <w:rPr>
          <w:rFonts w:ascii="Arial" w:hAnsi="Arial" w:cs="Arial"/>
          <w:sz w:val="24"/>
          <w:szCs w:val="24"/>
        </w:rPr>
        <w:tab/>
      </w:r>
      <w:r w:rsidR="00D701C6">
        <w:rPr>
          <w:rFonts w:ascii="Arial" w:hAnsi="Arial" w:cs="Arial"/>
          <w:sz w:val="24"/>
          <w:szCs w:val="24"/>
        </w:rPr>
        <w:tab/>
      </w:r>
      <w:r w:rsidR="00B13B28">
        <w:rPr>
          <w:rFonts w:ascii="Arial" w:hAnsi="Arial" w:cs="Arial"/>
          <w:sz w:val="24"/>
          <w:szCs w:val="24"/>
        </w:rPr>
        <w:t>Sales Executive</w:t>
      </w:r>
      <w:r w:rsidR="00C00DC2">
        <w:rPr>
          <w:rFonts w:ascii="Arial" w:hAnsi="Arial" w:cs="Arial"/>
          <w:sz w:val="24"/>
          <w:szCs w:val="24"/>
        </w:rPr>
        <w:t xml:space="preserve"> </w:t>
      </w:r>
    </w:p>
    <w:p w14:paraId="5FED7564" w14:textId="77777777" w:rsidR="00DE2C75" w:rsidRDefault="00DE2C75" w:rsidP="00CB54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1EF52" w14:textId="2E6E8DF6" w:rsidR="001B4908" w:rsidRPr="001B4908" w:rsidRDefault="00DE2C75" w:rsidP="001B49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2C75">
        <w:rPr>
          <w:rFonts w:ascii="Arial" w:hAnsi="Arial" w:cs="Arial"/>
          <w:b/>
          <w:sz w:val="24"/>
          <w:szCs w:val="24"/>
        </w:rPr>
        <w:t>SALARY</w:t>
      </w:r>
      <w:r w:rsidR="00954075">
        <w:rPr>
          <w:rFonts w:ascii="Arial" w:hAnsi="Arial" w:cs="Arial"/>
          <w:sz w:val="24"/>
          <w:szCs w:val="24"/>
        </w:rPr>
        <w:t>:</w:t>
      </w:r>
      <w:r w:rsidR="00954075">
        <w:rPr>
          <w:rFonts w:ascii="Arial" w:hAnsi="Arial" w:cs="Arial"/>
          <w:sz w:val="24"/>
          <w:szCs w:val="24"/>
        </w:rPr>
        <w:tab/>
      </w:r>
      <w:r w:rsidR="00954075">
        <w:rPr>
          <w:rFonts w:ascii="Arial" w:hAnsi="Arial" w:cs="Arial"/>
          <w:sz w:val="24"/>
          <w:szCs w:val="24"/>
        </w:rPr>
        <w:tab/>
      </w:r>
      <w:r w:rsidR="00954075">
        <w:rPr>
          <w:rFonts w:ascii="Arial" w:hAnsi="Arial" w:cs="Arial"/>
          <w:sz w:val="24"/>
          <w:szCs w:val="24"/>
        </w:rPr>
        <w:tab/>
      </w:r>
      <w:r w:rsidR="003E79F5">
        <w:rPr>
          <w:rFonts w:ascii="Arial" w:hAnsi="Arial" w:cs="Arial"/>
          <w:sz w:val="24"/>
          <w:szCs w:val="24"/>
        </w:rPr>
        <w:t xml:space="preserve">Support Scale </w:t>
      </w:r>
      <w:r w:rsidR="001B4908" w:rsidRPr="001B4908">
        <w:rPr>
          <w:rFonts w:ascii="Arial" w:hAnsi="Arial" w:cs="Arial"/>
          <w:sz w:val="24"/>
          <w:szCs w:val="24"/>
        </w:rPr>
        <w:t>P02</w:t>
      </w:r>
    </w:p>
    <w:p w14:paraId="5FED7566" w14:textId="4FC6FD39" w:rsidR="00DE2C75" w:rsidRDefault="00DE2C75" w:rsidP="00CB54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67" w14:textId="57A46B80" w:rsidR="00DE2C75" w:rsidRDefault="00DE2C75" w:rsidP="00CB54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2C75">
        <w:rPr>
          <w:rFonts w:ascii="Arial" w:hAnsi="Arial" w:cs="Arial"/>
          <w:b/>
          <w:sz w:val="24"/>
          <w:szCs w:val="24"/>
        </w:rPr>
        <w:t>HOURS</w:t>
      </w:r>
      <w:r w:rsidR="00954075">
        <w:rPr>
          <w:rFonts w:ascii="Arial" w:hAnsi="Arial" w:cs="Arial"/>
          <w:sz w:val="24"/>
          <w:szCs w:val="24"/>
        </w:rPr>
        <w:t>:</w:t>
      </w:r>
      <w:r w:rsidR="00954075">
        <w:rPr>
          <w:rFonts w:ascii="Arial" w:hAnsi="Arial" w:cs="Arial"/>
          <w:sz w:val="24"/>
          <w:szCs w:val="24"/>
        </w:rPr>
        <w:tab/>
      </w:r>
      <w:r w:rsidR="00954075">
        <w:rPr>
          <w:rFonts w:ascii="Arial" w:hAnsi="Arial" w:cs="Arial"/>
          <w:sz w:val="24"/>
          <w:szCs w:val="24"/>
        </w:rPr>
        <w:tab/>
      </w:r>
      <w:r w:rsidR="00954075">
        <w:rPr>
          <w:rFonts w:ascii="Arial" w:hAnsi="Arial" w:cs="Arial"/>
          <w:sz w:val="24"/>
          <w:szCs w:val="24"/>
        </w:rPr>
        <w:tab/>
      </w:r>
      <w:r w:rsidR="00723E47">
        <w:rPr>
          <w:rFonts w:ascii="Arial" w:hAnsi="Arial" w:cs="Arial"/>
          <w:sz w:val="24"/>
          <w:szCs w:val="24"/>
        </w:rPr>
        <w:t>36</w:t>
      </w:r>
      <w:r w:rsidR="003574C4">
        <w:rPr>
          <w:rFonts w:ascii="Arial" w:hAnsi="Arial" w:cs="Arial"/>
          <w:sz w:val="24"/>
          <w:szCs w:val="24"/>
        </w:rPr>
        <w:t xml:space="preserve"> hrs </w:t>
      </w:r>
      <w:r w:rsidR="00E26526">
        <w:rPr>
          <w:rFonts w:ascii="Arial" w:hAnsi="Arial" w:cs="Arial"/>
          <w:sz w:val="24"/>
          <w:szCs w:val="24"/>
        </w:rPr>
        <w:t>per week,</w:t>
      </w:r>
      <w:r w:rsidR="005F1BBC">
        <w:rPr>
          <w:rFonts w:ascii="Arial" w:hAnsi="Arial" w:cs="Arial"/>
          <w:sz w:val="24"/>
          <w:szCs w:val="24"/>
        </w:rPr>
        <w:t xml:space="preserve"> </w:t>
      </w:r>
      <w:r w:rsidR="00723E47">
        <w:rPr>
          <w:rFonts w:ascii="Arial" w:hAnsi="Arial" w:cs="Arial"/>
          <w:sz w:val="24"/>
          <w:szCs w:val="24"/>
        </w:rPr>
        <w:t>5</w:t>
      </w:r>
      <w:r w:rsidR="00CB16D4">
        <w:rPr>
          <w:rFonts w:ascii="Arial" w:hAnsi="Arial" w:cs="Arial"/>
          <w:sz w:val="24"/>
          <w:szCs w:val="24"/>
        </w:rPr>
        <w:t xml:space="preserve">2 weeks per </w:t>
      </w:r>
      <w:r w:rsidR="00723E47">
        <w:rPr>
          <w:rFonts w:ascii="Arial" w:hAnsi="Arial" w:cs="Arial"/>
          <w:sz w:val="24"/>
          <w:szCs w:val="24"/>
        </w:rPr>
        <w:t>year</w:t>
      </w:r>
    </w:p>
    <w:p w14:paraId="5FED7568" w14:textId="77777777" w:rsidR="00DE2C75" w:rsidRDefault="00DE2C75" w:rsidP="00CB54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6A" w14:textId="44178063" w:rsidR="00DE2C75" w:rsidRDefault="00DE2C75" w:rsidP="00FD2BC4">
      <w:pPr>
        <w:spacing w:after="0" w:line="240" w:lineRule="auto"/>
        <w:ind w:left="2880" w:hanging="2880"/>
        <w:rPr>
          <w:rFonts w:ascii="Arial" w:hAnsi="Arial" w:cs="Arial"/>
          <w:sz w:val="24"/>
          <w:szCs w:val="24"/>
        </w:rPr>
      </w:pPr>
      <w:r w:rsidRPr="00DE2C75">
        <w:rPr>
          <w:rFonts w:ascii="Arial" w:hAnsi="Arial" w:cs="Arial"/>
          <w:b/>
          <w:sz w:val="24"/>
          <w:szCs w:val="24"/>
        </w:rPr>
        <w:t>PRIMARY LOCATION</w:t>
      </w:r>
      <w:r w:rsidR="00D701C6">
        <w:rPr>
          <w:rFonts w:ascii="Arial" w:hAnsi="Arial" w:cs="Arial"/>
          <w:sz w:val="24"/>
          <w:szCs w:val="24"/>
        </w:rPr>
        <w:t>:</w:t>
      </w:r>
      <w:r w:rsidR="00D701C6">
        <w:rPr>
          <w:rFonts w:ascii="Arial" w:hAnsi="Arial" w:cs="Arial"/>
          <w:sz w:val="24"/>
          <w:szCs w:val="24"/>
        </w:rPr>
        <w:tab/>
      </w:r>
      <w:r w:rsidR="000F0FB7">
        <w:rPr>
          <w:rFonts w:ascii="Arial" w:hAnsi="Arial" w:cs="Arial"/>
          <w:sz w:val="24"/>
          <w:szCs w:val="24"/>
        </w:rPr>
        <w:t>Wood Street</w:t>
      </w:r>
      <w:r w:rsidR="00D8763F">
        <w:rPr>
          <w:rFonts w:ascii="Arial" w:hAnsi="Arial" w:cs="Arial"/>
          <w:sz w:val="24"/>
          <w:szCs w:val="24"/>
        </w:rPr>
        <w:t xml:space="preserve"> (</w:t>
      </w:r>
      <w:r w:rsidR="00B271BE">
        <w:rPr>
          <w:rFonts w:ascii="Arial" w:hAnsi="Arial" w:cs="Arial"/>
          <w:sz w:val="24"/>
          <w:szCs w:val="24"/>
        </w:rPr>
        <w:t xml:space="preserve">High </w:t>
      </w:r>
      <w:r w:rsidR="00D8763F">
        <w:rPr>
          <w:rFonts w:ascii="Arial" w:hAnsi="Arial" w:cs="Arial"/>
          <w:sz w:val="24"/>
          <w:szCs w:val="24"/>
        </w:rPr>
        <w:t>Barnet)</w:t>
      </w:r>
      <w:r w:rsidR="000F0FB7">
        <w:rPr>
          <w:rFonts w:ascii="Arial" w:hAnsi="Arial" w:cs="Arial"/>
          <w:sz w:val="24"/>
          <w:szCs w:val="24"/>
        </w:rPr>
        <w:t xml:space="preserve"> </w:t>
      </w:r>
      <w:r w:rsidR="00B271BE">
        <w:rPr>
          <w:rFonts w:ascii="Arial" w:hAnsi="Arial" w:cs="Arial"/>
          <w:sz w:val="24"/>
          <w:szCs w:val="24"/>
        </w:rPr>
        <w:t>there is an opportunity</w:t>
      </w:r>
      <w:r w:rsidR="005C1992">
        <w:rPr>
          <w:rFonts w:ascii="Arial" w:hAnsi="Arial" w:cs="Arial"/>
          <w:sz w:val="24"/>
          <w:szCs w:val="24"/>
        </w:rPr>
        <w:t xml:space="preserve"> for hybrid working.  </w:t>
      </w:r>
      <w:r w:rsidR="00FD2BC4">
        <w:rPr>
          <w:rFonts w:ascii="Arial" w:hAnsi="Arial" w:cs="Arial"/>
          <w:sz w:val="24"/>
          <w:szCs w:val="24"/>
        </w:rPr>
        <w:t>Postholder will have to travel for business/employer meetings and events</w:t>
      </w:r>
      <w:r w:rsidR="00B271BE">
        <w:rPr>
          <w:rFonts w:ascii="Arial" w:hAnsi="Arial" w:cs="Arial"/>
          <w:sz w:val="24"/>
          <w:szCs w:val="24"/>
        </w:rPr>
        <w:t>.</w:t>
      </w:r>
    </w:p>
    <w:p w14:paraId="5FED756B" w14:textId="77777777" w:rsidR="00DE2C75" w:rsidRDefault="00DE2C75" w:rsidP="00CB54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6C" w14:textId="77777777" w:rsidR="00DE2C75" w:rsidRPr="00DE2C75" w:rsidRDefault="00DE2C75" w:rsidP="00CB54A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E2C75">
        <w:rPr>
          <w:rFonts w:ascii="Arial" w:hAnsi="Arial" w:cs="Arial"/>
          <w:b/>
          <w:sz w:val="24"/>
          <w:szCs w:val="24"/>
        </w:rPr>
        <w:t>PURPOSE OF POST</w:t>
      </w:r>
      <w:r w:rsidRPr="00DE2C75">
        <w:rPr>
          <w:rFonts w:ascii="Arial" w:hAnsi="Arial" w:cs="Arial"/>
          <w:b/>
          <w:sz w:val="28"/>
          <w:szCs w:val="28"/>
        </w:rPr>
        <w:t>:</w:t>
      </w:r>
    </w:p>
    <w:p w14:paraId="5FED756D" w14:textId="77777777" w:rsidR="00DE2C75" w:rsidRDefault="00DE2C75" w:rsidP="00CB54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718680" w14:textId="0E91A992" w:rsidR="002A16B3" w:rsidRDefault="002E515F" w:rsidP="009402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sell and promote </w:t>
      </w:r>
      <w:r w:rsidR="00B13B28">
        <w:rPr>
          <w:rFonts w:ascii="Arial" w:hAnsi="Arial" w:cs="Arial"/>
          <w:sz w:val="24"/>
          <w:szCs w:val="24"/>
        </w:rPr>
        <w:t xml:space="preserve">an evolving portfolio of </w:t>
      </w:r>
      <w:r w:rsidR="000E37EC">
        <w:rPr>
          <w:rFonts w:ascii="Arial" w:hAnsi="Arial" w:cs="Arial"/>
          <w:sz w:val="24"/>
          <w:szCs w:val="24"/>
        </w:rPr>
        <w:t xml:space="preserve">college products including </w:t>
      </w:r>
      <w:r w:rsidR="00B13B28">
        <w:rPr>
          <w:rFonts w:ascii="Arial" w:hAnsi="Arial" w:cs="Arial"/>
          <w:sz w:val="24"/>
          <w:szCs w:val="24"/>
        </w:rPr>
        <w:t>Apprenticeship</w:t>
      </w:r>
      <w:r w:rsidR="000E37EC">
        <w:rPr>
          <w:rFonts w:ascii="Arial" w:hAnsi="Arial" w:cs="Arial"/>
          <w:sz w:val="24"/>
          <w:szCs w:val="24"/>
        </w:rPr>
        <w:t>s</w:t>
      </w:r>
      <w:r w:rsidR="00B13B28">
        <w:rPr>
          <w:rFonts w:ascii="Arial" w:hAnsi="Arial" w:cs="Arial"/>
          <w:sz w:val="24"/>
          <w:szCs w:val="24"/>
        </w:rPr>
        <w:t xml:space="preserve">, Commercial and B2B products and services to Corporate, SME and large employer markets.  </w:t>
      </w:r>
      <w:r w:rsidR="00431F47">
        <w:rPr>
          <w:rFonts w:ascii="Arial" w:hAnsi="Arial" w:cs="Arial"/>
          <w:sz w:val="24"/>
          <w:szCs w:val="24"/>
        </w:rPr>
        <w:t>Y</w:t>
      </w:r>
      <w:r w:rsidR="002A16B3" w:rsidRPr="00431F47">
        <w:rPr>
          <w:rFonts w:ascii="Arial" w:hAnsi="Arial" w:cs="Arial"/>
          <w:sz w:val="24"/>
          <w:szCs w:val="24"/>
        </w:rPr>
        <w:t xml:space="preserve">ou will be responsible for </w:t>
      </w:r>
      <w:r w:rsidR="00431F47">
        <w:rPr>
          <w:rFonts w:ascii="Arial" w:hAnsi="Arial" w:cs="Arial"/>
          <w:sz w:val="24"/>
          <w:szCs w:val="24"/>
        </w:rPr>
        <w:t xml:space="preserve">leading </w:t>
      </w:r>
      <w:r w:rsidR="00C34B7D">
        <w:rPr>
          <w:rFonts w:ascii="Arial" w:hAnsi="Arial" w:cs="Arial"/>
          <w:sz w:val="24"/>
          <w:szCs w:val="24"/>
        </w:rPr>
        <w:t xml:space="preserve">on sales and promotional activities to </w:t>
      </w:r>
      <w:r w:rsidR="00982220">
        <w:rPr>
          <w:rFonts w:ascii="Arial" w:hAnsi="Arial" w:cs="Arial"/>
          <w:sz w:val="24"/>
          <w:szCs w:val="24"/>
        </w:rPr>
        <w:t xml:space="preserve">engage with employers </w:t>
      </w:r>
      <w:r w:rsidR="002A16B3" w:rsidRPr="00431F47">
        <w:rPr>
          <w:rFonts w:ascii="Arial" w:hAnsi="Arial" w:cs="Arial"/>
          <w:sz w:val="24"/>
          <w:szCs w:val="24"/>
        </w:rPr>
        <w:t>to identify</w:t>
      </w:r>
      <w:r w:rsidR="00982220">
        <w:rPr>
          <w:rFonts w:ascii="Arial" w:hAnsi="Arial" w:cs="Arial"/>
          <w:sz w:val="24"/>
          <w:szCs w:val="24"/>
        </w:rPr>
        <w:t xml:space="preserve"> and fill their</w:t>
      </w:r>
      <w:r w:rsidR="002A16B3" w:rsidRPr="00431F47">
        <w:rPr>
          <w:rFonts w:ascii="Arial" w:hAnsi="Arial" w:cs="Arial"/>
          <w:sz w:val="24"/>
          <w:szCs w:val="24"/>
        </w:rPr>
        <w:t xml:space="preserve"> training needs</w:t>
      </w:r>
      <w:r w:rsidR="00982220">
        <w:rPr>
          <w:rFonts w:ascii="Arial" w:hAnsi="Arial" w:cs="Arial"/>
          <w:sz w:val="24"/>
          <w:szCs w:val="24"/>
        </w:rPr>
        <w:t xml:space="preserve"> whilst meeting college KPI targets</w:t>
      </w:r>
      <w:r w:rsidR="002A16B3" w:rsidRPr="00431F47">
        <w:rPr>
          <w:rFonts w:ascii="Arial" w:hAnsi="Arial" w:cs="Arial"/>
          <w:sz w:val="24"/>
          <w:szCs w:val="24"/>
        </w:rPr>
        <w:t xml:space="preserve">. </w:t>
      </w:r>
      <w:r w:rsidR="007676A0">
        <w:rPr>
          <w:rFonts w:ascii="Arial" w:hAnsi="Arial" w:cs="Arial"/>
          <w:sz w:val="24"/>
          <w:szCs w:val="24"/>
        </w:rPr>
        <w:t>You will also be</w:t>
      </w:r>
      <w:r w:rsidR="002A16B3" w:rsidRPr="00431F47">
        <w:rPr>
          <w:rFonts w:ascii="Arial" w:hAnsi="Arial" w:cs="Arial"/>
          <w:sz w:val="24"/>
          <w:szCs w:val="24"/>
        </w:rPr>
        <w:t xml:space="preserve"> recruiting, engaging and supporting learners’ applications for job roles onto our range of Apprenticeship programmes and ensuring learners received the best possible to start to their journey with us.</w:t>
      </w:r>
    </w:p>
    <w:p w14:paraId="5FED756F" w14:textId="77777777" w:rsidR="00DE2C75" w:rsidRDefault="00DE2C75" w:rsidP="00CB54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70" w14:textId="77777777" w:rsidR="007F2E56" w:rsidRDefault="007F2E56" w:rsidP="00CB54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2E56">
        <w:rPr>
          <w:rFonts w:ascii="Arial" w:hAnsi="Arial" w:cs="Arial"/>
          <w:b/>
          <w:sz w:val="24"/>
          <w:szCs w:val="24"/>
        </w:rPr>
        <w:t>RESPONSIBLE TO</w:t>
      </w:r>
      <w:r>
        <w:rPr>
          <w:rFonts w:ascii="Arial" w:hAnsi="Arial" w:cs="Arial"/>
          <w:sz w:val="24"/>
          <w:szCs w:val="24"/>
        </w:rPr>
        <w:t>:</w:t>
      </w:r>
    </w:p>
    <w:p w14:paraId="5FED7571" w14:textId="77777777" w:rsidR="007F2E56" w:rsidRDefault="007F2E56" w:rsidP="00CB54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72" w14:textId="146B16F7" w:rsidR="007F2E56" w:rsidRDefault="00392A01" w:rsidP="00CB54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Quality/Audit</w:t>
      </w:r>
      <w:r w:rsidR="007676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Team Leader</w:t>
      </w:r>
    </w:p>
    <w:p w14:paraId="5FED7573" w14:textId="77777777" w:rsidR="007F2E56" w:rsidRDefault="007F2E56" w:rsidP="00CB54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74" w14:textId="77777777" w:rsidR="007F2E56" w:rsidRDefault="007F2E56" w:rsidP="00CB54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FED7575" w14:textId="77777777" w:rsidR="007F2E56" w:rsidRDefault="007F2E56" w:rsidP="00CB54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76" w14:textId="77777777" w:rsidR="007F2E56" w:rsidRDefault="007F2E56" w:rsidP="00CB54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77" w14:textId="77777777" w:rsidR="007F2E56" w:rsidRPr="007F2E56" w:rsidRDefault="007F2E56" w:rsidP="00CB54A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F2E56">
        <w:rPr>
          <w:rFonts w:ascii="Arial" w:hAnsi="Arial" w:cs="Arial"/>
          <w:b/>
          <w:sz w:val="24"/>
          <w:szCs w:val="24"/>
        </w:rPr>
        <w:t>MAIN DUTIES</w:t>
      </w:r>
    </w:p>
    <w:p w14:paraId="5FED7578" w14:textId="77777777" w:rsidR="007F2E56" w:rsidRDefault="007F2E56" w:rsidP="00CB54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79" w14:textId="77777777" w:rsidR="00CD5B46" w:rsidRDefault="00B13B28" w:rsidP="00B13B2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Achievement of Commercial KPIs and financial targets for Apprenticeships and full cost commercial courses across a wide range of sector areas.</w:t>
      </w:r>
    </w:p>
    <w:p w14:paraId="5FED757A" w14:textId="77777777" w:rsidR="00B13B28" w:rsidRDefault="00B13B28" w:rsidP="00B13B2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Generation of leads and delivery of a wide range of B2B engagement techniques using the full sales cycle to warm, nurture and convert key accounts with acquisition of financial contribution from employers.</w:t>
      </w:r>
    </w:p>
    <w:p w14:paraId="5FED757B" w14:textId="77777777" w:rsidR="00B13B28" w:rsidRDefault="00B13B28" w:rsidP="00B13B2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deliver effective telesales engagement and appropriate follow up with a large volume of employers to secure new commercial/Apprenticeship business.</w:t>
      </w:r>
    </w:p>
    <w:p w14:paraId="5FED757C" w14:textId="77777777" w:rsidR="00F73FB9" w:rsidRDefault="00F73FB9" w:rsidP="00B13B2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follow up CRM marketing campaigns to engage with employers and secure business.</w:t>
      </w:r>
    </w:p>
    <w:p w14:paraId="5FED757D" w14:textId="77777777" w:rsidR="00B13B28" w:rsidRDefault="00B13B28" w:rsidP="00B13B2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 effectively account manage key employers in order to secure repeat business and cross-sell additional commercial products and services, liaising closely with other Sales Executives.</w:t>
      </w:r>
    </w:p>
    <w:p w14:paraId="5FED757E" w14:textId="22483377" w:rsidR="00B13B28" w:rsidRDefault="00B13B28" w:rsidP="00B13B2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closely with employers to actively sell new </w:t>
      </w:r>
      <w:r w:rsidR="00392A01">
        <w:rPr>
          <w:rFonts w:ascii="Arial" w:hAnsi="Arial" w:cs="Arial"/>
          <w:sz w:val="24"/>
          <w:szCs w:val="24"/>
        </w:rPr>
        <w:t>Apprenticeship</w:t>
      </w:r>
      <w:r w:rsidR="00D40A3B">
        <w:rPr>
          <w:rFonts w:ascii="Arial" w:hAnsi="Arial" w:cs="Arial"/>
          <w:sz w:val="24"/>
          <w:szCs w:val="24"/>
        </w:rPr>
        <w:t xml:space="preserve"> programmes</w:t>
      </w:r>
      <w:r>
        <w:rPr>
          <w:rFonts w:ascii="Arial" w:hAnsi="Arial" w:cs="Arial"/>
          <w:sz w:val="24"/>
          <w:szCs w:val="24"/>
        </w:rPr>
        <w:t>, taking a role in the design and delivery and cost negotiation of bespoke packages mapped to the new standards</w:t>
      </w:r>
      <w:r w:rsidR="00D40A3B">
        <w:rPr>
          <w:rFonts w:ascii="Arial" w:hAnsi="Arial" w:cs="Arial"/>
          <w:sz w:val="24"/>
          <w:szCs w:val="24"/>
        </w:rPr>
        <w:t>.</w:t>
      </w:r>
    </w:p>
    <w:p w14:paraId="5FED757F" w14:textId="2D5A6336" w:rsidR="00B13B28" w:rsidRDefault="00B13B28" w:rsidP="00B13B2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 of the sales mix, to work closely with corporate clients in order to provide appropriate training solutions for their business needs, taking a role in the design, development and cost of bespoke commercial programmes.</w:t>
      </w:r>
    </w:p>
    <w:p w14:paraId="3D8F5037" w14:textId="77777777" w:rsidR="00D40A3B" w:rsidRPr="00E728D6" w:rsidRDefault="00D40A3B" w:rsidP="00D40A3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28D6">
        <w:rPr>
          <w:rFonts w:ascii="Arial" w:hAnsi="Arial" w:cs="Arial"/>
          <w:sz w:val="24"/>
          <w:szCs w:val="24"/>
        </w:rPr>
        <w:t>Support with the successful planning and running of learner engagement events, including careers fairs and opens evenings.</w:t>
      </w:r>
    </w:p>
    <w:p w14:paraId="53E59A25" w14:textId="77777777" w:rsidR="00D40A3B" w:rsidRPr="00E728D6" w:rsidRDefault="00D40A3B" w:rsidP="00D40A3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28D6">
        <w:rPr>
          <w:rFonts w:ascii="Arial" w:hAnsi="Arial" w:cs="Arial"/>
          <w:sz w:val="24"/>
          <w:szCs w:val="24"/>
        </w:rPr>
        <w:t>Support with the preparation of potential Apprentices to make applications for job roles and be ready for interview via CV reviews and mock interviews.</w:t>
      </w:r>
    </w:p>
    <w:p w14:paraId="7512476F" w14:textId="7BFB6539" w:rsidR="00D40A3B" w:rsidRPr="00E728D6" w:rsidRDefault="00D40A3B" w:rsidP="00D40A3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28D6">
        <w:rPr>
          <w:rFonts w:ascii="Arial" w:hAnsi="Arial" w:cs="Arial"/>
          <w:sz w:val="24"/>
          <w:szCs w:val="24"/>
        </w:rPr>
        <w:t>Support the uploading of new job vacancies to the Apprenticeship Service (AS).</w:t>
      </w:r>
    </w:p>
    <w:p w14:paraId="5FED7581" w14:textId="77777777" w:rsidR="000D39E6" w:rsidRDefault="000D39E6" w:rsidP="000D39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82" w14:textId="77777777" w:rsidR="000D39E6" w:rsidRDefault="000D39E6" w:rsidP="000D39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Duties and Responsibilities</w:t>
      </w:r>
    </w:p>
    <w:p w14:paraId="5FED7583" w14:textId="77777777" w:rsidR="000D39E6" w:rsidRDefault="000D39E6" w:rsidP="000D39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84" w14:textId="77777777" w:rsidR="000D39E6" w:rsidRDefault="000D39E6" w:rsidP="000D39E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provide a helpful, professional and flexible service to internal and external customers of the department or the College.</w:t>
      </w:r>
    </w:p>
    <w:p w14:paraId="5FED7585" w14:textId="54D5E2ED" w:rsidR="000D39E6" w:rsidRDefault="000D39E6" w:rsidP="000D39E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act in accordance with College Values and positively represent Barnet and Southgate College in all aspects of your work.</w:t>
      </w:r>
    </w:p>
    <w:p w14:paraId="2C6F729E" w14:textId="3D5E1005" w:rsidR="008E2B29" w:rsidRDefault="008E2B29" w:rsidP="000D39E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participate fully in college enrolment and open day activities providing a front line service for enquiries.</w:t>
      </w:r>
    </w:p>
    <w:p w14:paraId="5FED7586" w14:textId="77777777" w:rsidR="000D39E6" w:rsidRDefault="000D39E6" w:rsidP="000D39E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operate in </w:t>
      </w:r>
      <w:r w:rsidR="00A622BC">
        <w:rPr>
          <w:rFonts w:ascii="Arial" w:hAnsi="Arial" w:cs="Arial"/>
          <w:sz w:val="24"/>
          <w:szCs w:val="24"/>
        </w:rPr>
        <w:t>accordance</w:t>
      </w:r>
      <w:r>
        <w:rPr>
          <w:rFonts w:ascii="Arial" w:hAnsi="Arial" w:cs="Arial"/>
          <w:sz w:val="24"/>
          <w:szCs w:val="24"/>
        </w:rPr>
        <w:t xml:space="preserve"> with the College’s policies and procedures.</w:t>
      </w:r>
    </w:p>
    <w:p w14:paraId="5FED7587" w14:textId="77777777" w:rsidR="000D39E6" w:rsidRDefault="000D39E6" w:rsidP="000D39E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act in a safe manner which safeguards the health and safety of to</w:t>
      </w:r>
      <w:r w:rsidR="00A622BC">
        <w:rPr>
          <w:rFonts w:ascii="Arial" w:hAnsi="Arial" w:cs="Arial"/>
          <w:sz w:val="24"/>
          <w:szCs w:val="24"/>
        </w:rPr>
        <w:t xml:space="preserve"> yo</w:t>
      </w:r>
      <w:r>
        <w:rPr>
          <w:rFonts w:ascii="Arial" w:hAnsi="Arial" w:cs="Arial"/>
          <w:sz w:val="24"/>
          <w:szCs w:val="24"/>
        </w:rPr>
        <w:t>urself and others.</w:t>
      </w:r>
    </w:p>
    <w:p w14:paraId="5FED7588" w14:textId="77777777" w:rsidR="000D39E6" w:rsidRDefault="000D39E6" w:rsidP="000D39E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aware of equality and diversity, the needs of customers and learners and demonstrate these principles in all aspects of your work.</w:t>
      </w:r>
    </w:p>
    <w:p w14:paraId="5FED7589" w14:textId="77777777" w:rsidR="000D39E6" w:rsidRDefault="000D39E6" w:rsidP="000D39E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familiar with and comply with the College’s safeguarding requirements which protect the welfare of children and vulnerable adults.</w:t>
      </w:r>
    </w:p>
    <w:p w14:paraId="5FED758A" w14:textId="77777777" w:rsidR="000D39E6" w:rsidRDefault="000D39E6" w:rsidP="000D39E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participate in and take responsibility for your own learning and developments.</w:t>
      </w:r>
    </w:p>
    <w:p w14:paraId="5FED758B" w14:textId="77777777" w:rsidR="000D39E6" w:rsidRDefault="000D39E6" w:rsidP="000D39E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cover or support for other members of your team and undertake any other duties required by your Line Manager </w:t>
      </w:r>
      <w:r w:rsidR="00A622BC">
        <w:rPr>
          <w:rFonts w:ascii="Arial" w:hAnsi="Arial" w:cs="Arial"/>
          <w:sz w:val="24"/>
          <w:szCs w:val="24"/>
        </w:rPr>
        <w:t>appropriate</w:t>
      </w:r>
      <w:r>
        <w:rPr>
          <w:rFonts w:ascii="Arial" w:hAnsi="Arial" w:cs="Arial"/>
          <w:sz w:val="24"/>
          <w:szCs w:val="24"/>
        </w:rPr>
        <w:t xml:space="preserve"> to your position within the organisation.  This includes attending college open events, business events and attending other campuses as required.</w:t>
      </w:r>
    </w:p>
    <w:p w14:paraId="5FED758C" w14:textId="77777777" w:rsidR="00F73FB9" w:rsidRPr="000D39E6" w:rsidRDefault="00F73FB9" w:rsidP="000D39E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attend appropriate employer and/or marketing events which may require you to work evenings/weekends from time to time.</w:t>
      </w:r>
    </w:p>
    <w:p w14:paraId="5FED758D" w14:textId="77777777" w:rsidR="00CD5B46" w:rsidRDefault="00CD5B46" w:rsidP="00CD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8E" w14:textId="77777777" w:rsidR="00C267E2" w:rsidRDefault="00C267E2" w:rsidP="00CD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8F" w14:textId="77777777" w:rsidR="00C267E2" w:rsidRDefault="00C267E2" w:rsidP="00CD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90" w14:textId="77777777" w:rsidR="00C267E2" w:rsidRDefault="00C267E2" w:rsidP="00CD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91" w14:textId="77777777" w:rsidR="000D39E6" w:rsidRDefault="000D39E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FED7592" w14:textId="77777777" w:rsidR="000D39E6" w:rsidRDefault="000D39E6" w:rsidP="00C267E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FED7593" w14:textId="77777777" w:rsidR="00C267E2" w:rsidRPr="000B3C39" w:rsidRDefault="00C267E2" w:rsidP="00C267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B3C39">
        <w:rPr>
          <w:rFonts w:ascii="Arial" w:hAnsi="Arial" w:cs="Arial"/>
          <w:b/>
          <w:sz w:val="28"/>
          <w:szCs w:val="28"/>
        </w:rPr>
        <w:t>PERS</w:t>
      </w:r>
      <w:r>
        <w:rPr>
          <w:rFonts w:ascii="Arial" w:hAnsi="Arial" w:cs="Arial"/>
          <w:b/>
          <w:sz w:val="28"/>
          <w:szCs w:val="28"/>
        </w:rPr>
        <w:t xml:space="preserve">ON SPECIFICATION – </w:t>
      </w:r>
      <w:r w:rsidR="00F73FB9">
        <w:rPr>
          <w:rFonts w:ascii="Arial" w:hAnsi="Arial" w:cs="Arial"/>
          <w:b/>
          <w:sz w:val="28"/>
          <w:szCs w:val="28"/>
        </w:rPr>
        <w:t>Sales Executive</w:t>
      </w:r>
    </w:p>
    <w:p w14:paraId="5FED7594" w14:textId="77777777" w:rsidR="00C267E2" w:rsidRDefault="00C267E2" w:rsidP="00C267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D7595" w14:textId="77777777" w:rsidR="00C267E2" w:rsidRDefault="00C267E2" w:rsidP="00C267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2612"/>
        <w:gridCol w:w="2955"/>
        <w:gridCol w:w="1778"/>
      </w:tblGrid>
      <w:tr w:rsidR="00C267E2" w:rsidRPr="00C535F2" w14:paraId="5FED759C" w14:textId="77777777" w:rsidTr="00941C88">
        <w:tc>
          <w:tcPr>
            <w:tcW w:w="1653" w:type="dxa"/>
            <w:shd w:val="clear" w:color="auto" w:fill="auto"/>
          </w:tcPr>
          <w:p w14:paraId="5FED7596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69D6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2614" w:type="dxa"/>
            <w:shd w:val="clear" w:color="auto" w:fill="auto"/>
          </w:tcPr>
          <w:p w14:paraId="5FED7597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69D6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958" w:type="dxa"/>
            <w:shd w:val="clear" w:color="auto" w:fill="auto"/>
          </w:tcPr>
          <w:p w14:paraId="5FED7598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69D6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791" w:type="dxa"/>
            <w:shd w:val="clear" w:color="auto" w:fill="auto"/>
          </w:tcPr>
          <w:p w14:paraId="5FED7599" w14:textId="3775EAC1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69D6">
              <w:rPr>
                <w:rFonts w:ascii="Arial" w:hAnsi="Arial" w:cs="Arial"/>
                <w:b/>
              </w:rPr>
              <w:t>METHOD OF ASSESS</w:t>
            </w:r>
          </w:p>
          <w:p w14:paraId="5FED759A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69D6">
              <w:rPr>
                <w:rFonts w:ascii="Arial" w:hAnsi="Arial" w:cs="Arial"/>
                <w:b/>
              </w:rPr>
              <w:t>A – AF/CV</w:t>
            </w:r>
          </w:p>
          <w:p w14:paraId="07D3592F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69D6">
              <w:rPr>
                <w:rFonts w:ascii="Arial" w:hAnsi="Arial" w:cs="Arial"/>
                <w:b/>
              </w:rPr>
              <w:t>I – Interview</w:t>
            </w:r>
          </w:p>
          <w:p w14:paraId="5FED759B" w14:textId="3B23B441" w:rsidR="00141E32" w:rsidRPr="00B969D6" w:rsidRDefault="00141E32" w:rsidP="003E05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69D6">
              <w:rPr>
                <w:rFonts w:ascii="Arial" w:hAnsi="Arial" w:cs="Arial"/>
                <w:b/>
              </w:rPr>
              <w:t>P - Present</w:t>
            </w:r>
          </w:p>
        </w:tc>
      </w:tr>
      <w:tr w:rsidR="00C267E2" w:rsidRPr="00C535F2" w14:paraId="5FED75A1" w14:textId="77777777" w:rsidTr="00941C88">
        <w:tc>
          <w:tcPr>
            <w:tcW w:w="1653" w:type="dxa"/>
            <w:vMerge w:val="restart"/>
            <w:shd w:val="clear" w:color="auto" w:fill="auto"/>
          </w:tcPr>
          <w:p w14:paraId="5FED759D" w14:textId="6B5FD5B4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69D6">
              <w:rPr>
                <w:rFonts w:ascii="Arial" w:hAnsi="Arial" w:cs="Arial"/>
                <w:b/>
              </w:rPr>
              <w:t>Qualification</w:t>
            </w:r>
            <w:r w:rsidR="00C66A06" w:rsidRPr="00B969D6">
              <w:rPr>
                <w:rFonts w:ascii="Arial" w:hAnsi="Arial" w:cs="Arial"/>
                <w:b/>
              </w:rPr>
              <w:t xml:space="preserve">s </w:t>
            </w:r>
          </w:p>
        </w:tc>
        <w:tc>
          <w:tcPr>
            <w:tcW w:w="2614" w:type="dxa"/>
            <w:shd w:val="clear" w:color="auto" w:fill="auto"/>
          </w:tcPr>
          <w:p w14:paraId="5FED759E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58" w:type="dxa"/>
            <w:shd w:val="clear" w:color="auto" w:fill="auto"/>
          </w:tcPr>
          <w:p w14:paraId="5FED759F" w14:textId="77777777" w:rsidR="00C267E2" w:rsidRPr="00B969D6" w:rsidRDefault="000D39E6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Educated to Degree level or equivalent</w:t>
            </w:r>
          </w:p>
        </w:tc>
        <w:tc>
          <w:tcPr>
            <w:tcW w:w="1791" w:type="dxa"/>
            <w:shd w:val="clear" w:color="auto" w:fill="auto"/>
          </w:tcPr>
          <w:p w14:paraId="5FED75A0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</w:t>
            </w:r>
          </w:p>
        </w:tc>
      </w:tr>
      <w:tr w:rsidR="00C267E2" w:rsidRPr="00C535F2" w14:paraId="5FED75A6" w14:textId="77777777" w:rsidTr="00941C88">
        <w:tc>
          <w:tcPr>
            <w:tcW w:w="1653" w:type="dxa"/>
            <w:vMerge/>
            <w:shd w:val="clear" w:color="auto" w:fill="auto"/>
          </w:tcPr>
          <w:p w14:paraId="5FED75A2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  <w:shd w:val="clear" w:color="auto" w:fill="auto"/>
          </w:tcPr>
          <w:p w14:paraId="5FED75A3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58" w:type="dxa"/>
            <w:shd w:val="clear" w:color="auto" w:fill="auto"/>
          </w:tcPr>
          <w:p w14:paraId="5FED75A4" w14:textId="77777777" w:rsidR="00C267E2" w:rsidRPr="00B969D6" w:rsidRDefault="000D39E6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An appropriate Sales qualification e.g. ISMM Sales Diploma</w:t>
            </w:r>
          </w:p>
        </w:tc>
        <w:tc>
          <w:tcPr>
            <w:tcW w:w="1791" w:type="dxa"/>
            <w:shd w:val="clear" w:color="auto" w:fill="auto"/>
          </w:tcPr>
          <w:p w14:paraId="5FED75A5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</w:t>
            </w:r>
          </w:p>
        </w:tc>
      </w:tr>
      <w:tr w:rsidR="00C267E2" w:rsidRPr="00C535F2" w14:paraId="5FED75AB" w14:textId="77777777" w:rsidTr="00941C88">
        <w:tc>
          <w:tcPr>
            <w:tcW w:w="1653" w:type="dxa"/>
            <w:vMerge w:val="restart"/>
            <w:shd w:val="clear" w:color="auto" w:fill="auto"/>
          </w:tcPr>
          <w:p w14:paraId="5FED75A7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69D6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2614" w:type="dxa"/>
            <w:shd w:val="clear" w:color="auto" w:fill="auto"/>
          </w:tcPr>
          <w:p w14:paraId="5FED75A8" w14:textId="5F669EB9" w:rsidR="00C267E2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Experience</w:t>
            </w:r>
            <w:r w:rsidR="000D39E6" w:rsidRPr="00B969D6">
              <w:rPr>
                <w:rFonts w:ascii="Arial" w:hAnsi="Arial" w:cs="Arial"/>
              </w:rPr>
              <w:t xml:space="preserve"> of successful </w:t>
            </w:r>
            <w:r w:rsidR="00645EB0" w:rsidRPr="00B969D6">
              <w:rPr>
                <w:rFonts w:ascii="Arial" w:hAnsi="Arial" w:cs="Arial"/>
              </w:rPr>
              <w:t>business development or employer engagement activities/sales</w:t>
            </w:r>
          </w:p>
        </w:tc>
        <w:tc>
          <w:tcPr>
            <w:tcW w:w="2958" w:type="dxa"/>
            <w:shd w:val="clear" w:color="auto" w:fill="auto"/>
          </w:tcPr>
          <w:p w14:paraId="5FED75A9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auto"/>
          </w:tcPr>
          <w:p w14:paraId="5FED75AA" w14:textId="03259FC1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</w:p>
        </w:tc>
      </w:tr>
      <w:tr w:rsidR="00C267E2" w:rsidRPr="00C535F2" w14:paraId="5FED75B0" w14:textId="77777777" w:rsidTr="00941C88">
        <w:tc>
          <w:tcPr>
            <w:tcW w:w="1653" w:type="dxa"/>
            <w:vMerge/>
            <w:shd w:val="clear" w:color="auto" w:fill="auto"/>
          </w:tcPr>
          <w:p w14:paraId="5FED75AC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  <w:shd w:val="clear" w:color="auto" w:fill="auto"/>
          </w:tcPr>
          <w:p w14:paraId="5FED75AD" w14:textId="0A819788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58" w:type="dxa"/>
            <w:shd w:val="clear" w:color="auto" w:fill="auto"/>
          </w:tcPr>
          <w:p w14:paraId="5FED75AE" w14:textId="289EE1B9" w:rsidR="00C267E2" w:rsidRPr="00B969D6" w:rsidRDefault="00D74A61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Experience of selling Apprenticeship provision</w:t>
            </w:r>
          </w:p>
        </w:tc>
        <w:tc>
          <w:tcPr>
            <w:tcW w:w="1791" w:type="dxa"/>
            <w:shd w:val="clear" w:color="auto" w:fill="auto"/>
          </w:tcPr>
          <w:p w14:paraId="5FED75AF" w14:textId="0487468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</w:p>
        </w:tc>
      </w:tr>
      <w:tr w:rsidR="00C267E2" w:rsidRPr="00C535F2" w14:paraId="5FED75B5" w14:textId="77777777" w:rsidTr="00941C88">
        <w:tc>
          <w:tcPr>
            <w:tcW w:w="1653" w:type="dxa"/>
            <w:vMerge/>
            <w:shd w:val="clear" w:color="auto" w:fill="auto"/>
          </w:tcPr>
          <w:p w14:paraId="5FED75B1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  <w:shd w:val="clear" w:color="auto" w:fill="auto"/>
          </w:tcPr>
          <w:p w14:paraId="5FED75B2" w14:textId="2E4A49C5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58" w:type="dxa"/>
            <w:shd w:val="clear" w:color="auto" w:fill="auto"/>
          </w:tcPr>
          <w:p w14:paraId="5FED75B3" w14:textId="72FCE454" w:rsidR="00C267E2" w:rsidRPr="00B969D6" w:rsidRDefault="0062507E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Track record of successfully selling commercial full cost programmes</w:t>
            </w:r>
          </w:p>
        </w:tc>
        <w:tc>
          <w:tcPr>
            <w:tcW w:w="1791" w:type="dxa"/>
            <w:shd w:val="clear" w:color="auto" w:fill="auto"/>
          </w:tcPr>
          <w:p w14:paraId="5FED75B4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</w:p>
        </w:tc>
      </w:tr>
      <w:tr w:rsidR="00C267E2" w:rsidRPr="00C535F2" w14:paraId="5FED75BA" w14:textId="77777777" w:rsidTr="00941C88">
        <w:tc>
          <w:tcPr>
            <w:tcW w:w="1653" w:type="dxa"/>
            <w:vMerge/>
            <w:shd w:val="clear" w:color="auto" w:fill="auto"/>
          </w:tcPr>
          <w:p w14:paraId="5FED75B6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  <w:shd w:val="clear" w:color="auto" w:fill="auto"/>
          </w:tcPr>
          <w:p w14:paraId="5FED75B7" w14:textId="6AD05B95" w:rsidR="00C267E2" w:rsidRPr="00B969D6" w:rsidRDefault="000D39E6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Experience of working in a target driven environment with successful achievement of KPIs</w:t>
            </w:r>
          </w:p>
        </w:tc>
        <w:tc>
          <w:tcPr>
            <w:tcW w:w="2958" w:type="dxa"/>
            <w:shd w:val="clear" w:color="auto" w:fill="auto"/>
          </w:tcPr>
          <w:p w14:paraId="5FED75B8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auto"/>
          </w:tcPr>
          <w:p w14:paraId="5FED75B9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</w:p>
        </w:tc>
      </w:tr>
      <w:tr w:rsidR="00C267E2" w:rsidRPr="00C535F2" w14:paraId="5FED75C6" w14:textId="77777777" w:rsidTr="00941C88">
        <w:tc>
          <w:tcPr>
            <w:tcW w:w="1653" w:type="dxa"/>
            <w:vMerge/>
            <w:shd w:val="clear" w:color="auto" w:fill="auto"/>
          </w:tcPr>
          <w:p w14:paraId="5FED75BB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  <w:shd w:val="clear" w:color="auto" w:fill="auto"/>
          </w:tcPr>
          <w:p w14:paraId="5FED75BC" w14:textId="3F10CBB3" w:rsidR="00C267E2" w:rsidRPr="00B969D6" w:rsidRDefault="00D74A61" w:rsidP="003E05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</w:t>
            </w:r>
            <w:r w:rsidR="000D39E6" w:rsidRPr="00B969D6">
              <w:rPr>
                <w:rFonts w:ascii="Arial" w:hAnsi="Arial" w:cs="Arial"/>
              </w:rPr>
              <w:t xml:space="preserve"> of successfully </w:t>
            </w:r>
            <w:r w:rsidR="0062507E" w:rsidRPr="00B969D6">
              <w:rPr>
                <w:rFonts w:ascii="Arial" w:hAnsi="Arial" w:cs="Arial"/>
              </w:rPr>
              <w:t xml:space="preserve">promoting and </w:t>
            </w:r>
            <w:r w:rsidR="000D39E6" w:rsidRPr="00B969D6">
              <w:rPr>
                <w:rFonts w:ascii="Arial" w:hAnsi="Arial" w:cs="Arial"/>
              </w:rPr>
              <w:t>selling the following:</w:t>
            </w:r>
          </w:p>
          <w:p w14:paraId="5FED75BE" w14:textId="30C2D3CC" w:rsidR="000D39E6" w:rsidRPr="00B969D6" w:rsidRDefault="000D39E6" w:rsidP="000D39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 xml:space="preserve">Apprenticeship </w:t>
            </w:r>
            <w:r w:rsidR="008E2B29" w:rsidRPr="00B969D6">
              <w:rPr>
                <w:rFonts w:ascii="Arial" w:hAnsi="Arial" w:cs="Arial"/>
              </w:rPr>
              <w:t>Standards</w:t>
            </w:r>
          </w:p>
          <w:p w14:paraId="5FED75BF" w14:textId="0B2DF223" w:rsidR="000D39E6" w:rsidRPr="00B969D6" w:rsidRDefault="000D39E6" w:rsidP="000D39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 xml:space="preserve">Apprenticeships to large </w:t>
            </w:r>
            <w:r w:rsidR="008F5B28" w:rsidRPr="00B969D6">
              <w:rPr>
                <w:rFonts w:ascii="Arial" w:hAnsi="Arial" w:cs="Arial"/>
              </w:rPr>
              <w:t xml:space="preserve">levy </w:t>
            </w:r>
            <w:r w:rsidRPr="00B969D6">
              <w:rPr>
                <w:rFonts w:ascii="Arial" w:hAnsi="Arial" w:cs="Arial"/>
              </w:rPr>
              <w:t>employers</w:t>
            </w:r>
          </w:p>
          <w:p w14:paraId="5FED75C0" w14:textId="77777777" w:rsidR="000D39E6" w:rsidRPr="00B969D6" w:rsidRDefault="000D39E6" w:rsidP="000D39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Commercial full cost programmes</w:t>
            </w:r>
          </w:p>
        </w:tc>
        <w:tc>
          <w:tcPr>
            <w:tcW w:w="2958" w:type="dxa"/>
            <w:shd w:val="clear" w:color="auto" w:fill="auto"/>
          </w:tcPr>
          <w:p w14:paraId="5FED75C1" w14:textId="77777777" w:rsidR="00C267E2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Experience</w:t>
            </w:r>
            <w:r w:rsidR="000D39E6" w:rsidRPr="00B969D6">
              <w:rPr>
                <w:rFonts w:ascii="Arial" w:hAnsi="Arial" w:cs="Arial"/>
              </w:rPr>
              <w:t xml:space="preserve"> of selling the following:</w:t>
            </w:r>
          </w:p>
          <w:p w14:paraId="5FED75C3" w14:textId="77777777" w:rsidR="000D39E6" w:rsidRPr="00B969D6" w:rsidRDefault="000D39E6" w:rsidP="000D39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E-learning</w:t>
            </w:r>
          </w:p>
          <w:p w14:paraId="73EBD03C" w14:textId="77777777" w:rsidR="000D39E6" w:rsidRPr="00B969D6" w:rsidRDefault="000D39E6" w:rsidP="000D39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CPD</w:t>
            </w:r>
          </w:p>
          <w:p w14:paraId="5FED75C4" w14:textId="07418880" w:rsidR="008E2B29" w:rsidRPr="00B969D6" w:rsidRDefault="008E2B29" w:rsidP="000D39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Full Cost</w:t>
            </w:r>
          </w:p>
        </w:tc>
        <w:tc>
          <w:tcPr>
            <w:tcW w:w="1791" w:type="dxa"/>
            <w:shd w:val="clear" w:color="auto" w:fill="auto"/>
          </w:tcPr>
          <w:p w14:paraId="5FED75C5" w14:textId="0157A018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</w:p>
        </w:tc>
      </w:tr>
      <w:tr w:rsidR="00A622BC" w:rsidRPr="00C535F2" w14:paraId="5FED75CD" w14:textId="77777777" w:rsidTr="00941C88">
        <w:tc>
          <w:tcPr>
            <w:tcW w:w="1653" w:type="dxa"/>
            <w:vMerge w:val="restart"/>
            <w:shd w:val="clear" w:color="auto" w:fill="auto"/>
          </w:tcPr>
          <w:p w14:paraId="5FED75C7" w14:textId="77777777" w:rsidR="00A622BC" w:rsidRPr="00B969D6" w:rsidRDefault="00A622BC" w:rsidP="003E05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69D6">
              <w:rPr>
                <w:rFonts w:ascii="Arial" w:hAnsi="Arial" w:cs="Arial"/>
                <w:b/>
              </w:rPr>
              <w:t>Knowledge</w:t>
            </w:r>
          </w:p>
          <w:p w14:paraId="5FED75C8" w14:textId="77777777" w:rsidR="00A622BC" w:rsidRPr="00B969D6" w:rsidRDefault="00A622BC" w:rsidP="003E05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69D6">
              <w:rPr>
                <w:rFonts w:ascii="Arial" w:hAnsi="Arial" w:cs="Arial"/>
                <w:b/>
              </w:rPr>
              <w:t>Skills</w:t>
            </w:r>
          </w:p>
          <w:p w14:paraId="5FED75C9" w14:textId="77777777" w:rsidR="00A622BC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  <w:b/>
              </w:rPr>
              <w:t>Abilities</w:t>
            </w:r>
          </w:p>
        </w:tc>
        <w:tc>
          <w:tcPr>
            <w:tcW w:w="2614" w:type="dxa"/>
            <w:shd w:val="clear" w:color="auto" w:fill="auto"/>
          </w:tcPr>
          <w:p w14:paraId="5FED75CA" w14:textId="4087AF29" w:rsidR="00A622BC" w:rsidRPr="00B969D6" w:rsidRDefault="008F5B28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 solid understanding of Apprenticeship provision and how programmes are f</w:t>
            </w:r>
            <w:r w:rsidR="008E2B29" w:rsidRPr="00B969D6">
              <w:rPr>
                <w:rFonts w:ascii="Arial" w:hAnsi="Arial" w:cs="Arial"/>
              </w:rPr>
              <w:t>unded</w:t>
            </w:r>
          </w:p>
        </w:tc>
        <w:tc>
          <w:tcPr>
            <w:tcW w:w="2958" w:type="dxa"/>
            <w:shd w:val="clear" w:color="auto" w:fill="auto"/>
          </w:tcPr>
          <w:p w14:paraId="5FED75CB" w14:textId="77777777" w:rsidR="00A622BC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auto"/>
          </w:tcPr>
          <w:p w14:paraId="5FED75CC" w14:textId="77777777" w:rsidR="00A622BC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I/I/P</w:t>
            </w:r>
          </w:p>
        </w:tc>
      </w:tr>
      <w:tr w:rsidR="00A622BC" w:rsidRPr="00C535F2" w14:paraId="5FED75D2" w14:textId="77777777" w:rsidTr="00941C88">
        <w:tc>
          <w:tcPr>
            <w:tcW w:w="1653" w:type="dxa"/>
            <w:vMerge/>
            <w:shd w:val="clear" w:color="auto" w:fill="auto"/>
          </w:tcPr>
          <w:p w14:paraId="5FED75CE" w14:textId="77777777" w:rsidR="00A622BC" w:rsidRPr="00B969D6" w:rsidRDefault="00A622BC" w:rsidP="003E052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shd w:val="clear" w:color="auto" w:fill="auto"/>
          </w:tcPr>
          <w:p w14:paraId="5FED75CF" w14:textId="77777777" w:rsidR="00A622BC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 xml:space="preserve">Knowledge and application of B2B </w:t>
            </w:r>
            <w:r w:rsidRPr="00B969D6">
              <w:rPr>
                <w:rFonts w:ascii="Arial" w:hAnsi="Arial" w:cs="Arial"/>
              </w:rPr>
              <w:lastRenderedPageBreak/>
              <w:t>Apprenticeship sales techniques</w:t>
            </w:r>
          </w:p>
        </w:tc>
        <w:tc>
          <w:tcPr>
            <w:tcW w:w="2958" w:type="dxa"/>
            <w:shd w:val="clear" w:color="auto" w:fill="auto"/>
          </w:tcPr>
          <w:p w14:paraId="5FED75D0" w14:textId="77777777" w:rsidR="00A622BC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auto"/>
          </w:tcPr>
          <w:p w14:paraId="5FED75D1" w14:textId="63C90163" w:rsidR="00A622BC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  <w:r w:rsidR="00141E32" w:rsidRPr="00B969D6">
              <w:rPr>
                <w:rFonts w:ascii="Arial" w:hAnsi="Arial" w:cs="Arial"/>
              </w:rPr>
              <w:t>/P</w:t>
            </w:r>
          </w:p>
        </w:tc>
      </w:tr>
      <w:tr w:rsidR="00A622BC" w:rsidRPr="00C535F2" w14:paraId="5FED75D7" w14:textId="77777777" w:rsidTr="00941C88">
        <w:tc>
          <w:tcPr>
            <w:tcW w:w="1653" w:type="dxa"/>
            <w:vMerge/>
            <w:shd w:val="clear" w:color="auto" w:fill="auto"/>
          </w:tcPr>
          <w:p w14:paraId="5FED75D3" w14:textId="77777777" w:rsidR="00A622BC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  <w:shd w:val="clear" w:color="auto" w:fill="auto"/>
          </w:tcPr>
          <w:p w14:paraId="5FED75D4" w14:textId="48386F92" w:rsidR="00A622BC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58" w:type="dxa"/>
            <w:shd w:val="clear" w:color="auto" w:fill="auto"/>
          </w:tcPr>
          <w:p w14:paraId="5FED75D5" w14:textId="381D2076" w:rsidR="00A622BC" w:rsidRPr="00B969D6" w:rsidRDefault="0088345B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Thorough knowledge of MS Dynamics CRM (2015 version)</w:t>
            </w:r>
          </w:p>
        </w:tc>
        <w:tc>
          <w:tcPr>
            <w:tcW w:w="1791" w:type="dxa"/>
            <w:shd w:val="clear" w:color="auto" w:fill="auto"/>
          </w:tcPr>
          <w:p w14:paraId="5FED75D6" w14:textId="77777777" w:rsidR="00A622BC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</w:p>
        </w:tc>
      </w:tr>
      <w:tr w:rsidR="00C267E2" w:rsidRPr="00C535F2" w14:paraId="5FED75DC" w14:textId="77777777" w:rsidTr="00941C88">
        <w:tc>
          <w:tcPr>
            <w:tcW w:w="1653" w:type="dxa"/>
            <w:vMerge w:val="restart"/>
            <w:shd w:val="clear" w:color="auto" w:fill="auto"/>
          </w:tcPr>
          <w:p w14:paraId="5FED75D8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shd w:val="clear" w:color="auto" w:fill="auto"/>
          </w:tcPr>
          <w:p w14:paraId="5FED75D9" w14:textId="77777777" w:rsidR="00C267E2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Ability to liaise with senior decision makers in the corporate work including HR Directors and CEOs</w:t>
            </w:r>
          </w:p>
        </w:tc>
        <w:tc>
          <w:tcPr>
            <w:tcW w:w="2958" w:type="dxa"/>
            <w:shd w:val="clear" w:color="auto" w:fill="auto"/>
          </w:tcPr>
          <w:p w14:paraId="5FED75DA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auto"/>
          </w:tcPr>
          <w:p w14:paraId="5FED75DB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</w:p>
        </w:tc>
      </w:tr>
      <w:tr w:rsidR="00C267E2" w:rsidRPr="00C535F2" w14:paraId="5FED75E1" w14:textId="77777777" w:rsidTr="00941C88">
        <w:tc>
          <w:tcPr>
            <w:tcW w:w="1653" w:type="dxa"/>
            <w:vMerge/>
            <w:shd w:val="clear" w:color="auto" w:fill="auto"/>
          </w:tcPr>
          <w:p w14:paraId="5FED75DD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  <w:shd w:val="clear" w:color="auto" w:fill="auto"/>
          </w:tcPr>
          <w:p w14:paraId="5FED75DE" w14:textId="77777777" w:rsidR="00C267E2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Ability to work with internal teams to achieve targets</w:t>
            </w:r>
          </w:p>
        </w:tc>
        <w:tc>
          <w:tcPr>
            <w:tcW w:w="2958" w:type="dxa"/>
            <w:shd w:val="clear" w:color="auto" w:fill="auto"/>
          </w:tcPr>
          <w:p w14:paraId="5FED75DF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auto"/>
          </w:tcPr>
          <w:p w14:paraId="5FED75E0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</w:p>
        </w:tc>
      </w:tr>
      <w:tr w:rsidR="00C267E2" w:rsidRPr="00C535F2" w14:paraId="5FED75E6" w14:textId="77777777" w:rsidTr="00941C88">
        <w:tc>
          <w:tcPr>
            <w:tcW w:w="1653" w:type="dxa"/>
            <w:vMerge/>
            <w:shd w:val="clear" w:color="auto" w:fill="auto"/>
          </w:tcPr>
          <w:p w14:paraId="5FED75E2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  <w:shd w:val="clear" w:color="auto" w:fill="auto"/>
          </w:tcPr>
          <w:p w14:paraId="5FED75E3" w14:textId="4FF6FB48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58" w:type="dxa"/>
            <w:shd w:val="clear" w:color="auto" w:fill="auto"/>
          </w:tcPr>
          <w:p w14:paraId="5FED75E4" w14:textId="5112CDE6" w:rsidR="00C267E2" w:rsidRPr="00B969D6" w:rsidRDefault="0088345B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Knowledge of commercial/apprenticeship products design, costings to develop compelling commercial propositions</w:t>
            </w:r>
          </w:p>
        </w:tc>
        <w:tc>
          <w:tcPr>
            <w:tcW w:w="1791" w:type="dxa"/>
            <w:shd w:val="clear" w:color="auto" w:fill="auto"/>
          </w:tcPr>
          <w:p w14:paraId="5FED75E5" w14:textId="3A1CB7D1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  <w:r w:rsidR="00B969D6" w:rsidRPr="00B969D6">
              <w:rPr>
                <w:rFonts w:ascii="Arial" w:hAnsi="Arial" w:cs="Arial"/>
              </w:rPr>
              <w:t>/P</w:t>
            </w:r>
          </w:p>
        </w:tc>
      </w:tr>
      <w:tr w:rsidR="00C267E2" w:rsidRPr="00C535F2" w14:paraId="5FED75EB" w14:textId="77777777" w:rsidTr="00941C88">
        <w:tc>
          <w:tcPr>
            <w:tcW w:w="1653" w:type="dxa"/>
            <w:vMerge/>
            <w:shd w:val="clear" w:color="auto" w:fill="auto"/>
          </w:tcPr>
          <w:p w14:paraId="5FED75E7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  <w:shd w:val="clear" w:color="auto" w:fill="auto"/>
          </w:tcPr>
          <w:p w14:paraId="5FED75E8" w14:textId="77777777" w:rsidR="00C267E2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Hungry, self-motivated and target driven to achieve sales</w:t>
            </w:r>
          </w:p>
        </w:tc>
        <w:tc>
          <w:tcPr>
            <w:tcW w:w="2958" w:type="dxa"/>
            <w:shd w:val="clear" w:color="auto" w:fill="auto"/>
          </w:tcPr>
          <w:p w14:paraId="5FED75E9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auto"/>
          </w:tcPr>
          <w:p w14:paraId="5FED75EA" w14:textId="77777777" w:rsidR="00C267E2" w:rsidRPr="00B969D6" w:rsidRDefault="00C267E2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</w:p>
        </w:tc>
      </w:tr>
      <w:tr w:rsidR="00A622BC" w:rsidRPr="00C535F2" w14:paraId="5FED75F0" w14:textId="77777777" w:rsidTr="00941C88">
        <w:tc>
          <w:tcPr>
            <w:tcW w:w="1653" w:type="dxa"/>
            <w:vMerge w:val="restart"/>
            <w:shd w:val="clear" w:color="auto" w:fill="auto"/>
          </w:tcPr>
          <w:p w14:paraId="5FED75EC" w14:textId="77777777" w:rsidR="00A622BC" w:rsidRPr="00B969D6" w:rsidRDefault="00A622BC" w:rsidP="00A622BC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  <w:b/>
              </w:rPr>
              <w:t>Personal Attributes</w:t>
            </w:r>
          </w:p>
        </w:tc>
        <w:tc>
          <w:tcPr>
            <w:tcW w:w="2614" w:type="dxa"/>
            <w:shd w:val="clear" w:color="auto" w:fill="auto"/>
          </w:tcPr>
          <w:p w14:paraId="5FED75ED" w14:textId="77777777" w:rsidR="00A622BC" w:rsidRPr="00B969D6" w:rsidRDefault="00A622BC" w:rsidP="00A622BC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Confidence to act independently and manage own workload to convert commercial business</w:t>
            </w:r>
          </w:p>
        </w:tc>
        <w:tc>
          <w:tcPr>
            <w:tcW w:w="2958" w:type="dxa"/>
            <w:shd w:val="clear" w:color="auto" w:fill="auto"/>
          </w:tcPr>
          <w:p w14:paraId="5FED75EE" w14:textId="77777777" w:rsidR="00A622BC" w:rsidRPr="00B969D6" w:rsidRDefault="00A622BC" w:rsidP="00A622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auto"/>
          </w:tcPr>
          <w:p w14:paraId="5FED75EF" w14:textId="77777777" w:rsidR="00A622BC" w:rsidRPr="00B969D6" w:rsidRDefault="00A622BC" w:rsidP="00A622BC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</w:p>
        </w:tc>
      </w:tr>
      <w:tr w:rsidR="00941C88" w:rsidRPr="00C535F2" w14:paraId="5B12B3D1" w14:textId="77777777" w:rsidTr="00941C88">
        <w:tc>
          <w:tcPr>
            <w:tcW w:w="1653" w:type="dxa"/>
            <w:vMerge/>
            <w:shd w:val="clear" w:color="auto" w:fill="auto"/>
          </w:tcPr>
          <w:p w14:paraId="652B3ACE" w14:textId="77777777" w:rsidR="00941C88" w:rsidRPr="00B969D6" w:rsidRDefault="00941C88" w:rsidP="00A622B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shd w:val="clear" w:color="auto" w:fill="auto"/>
          </w:tcPr>
          <w:p w14:paraId="467BEC3E" w14:textId="51DC487A" w:rsidR="00941C88" w:rsidRPr="00B969D6" w:rsidRDefault="00941C88" w:rsidP="00A622BC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Have a high level of attention to detail</w:t>
            </w:r>
          </w:p>
        </w:tc>
        <w:tc>
          <w:tcPr>
            <w:tcW w:w="2958" w:type="dxa"/>
            <w:shd w:val="clear" w:color="auto" w:fill="auto"/>
          </w:tcPr>
          <w:p w14:paraId="1B22E696" w14:textId="77777777" w:rsidR="00941C88" w:rsidRPr="00B969D6" w:rsidRDefault="00941C88" w:rsidP="00A622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auto"/>
          </w:tcPr>
          <w:p w14:paraId="24F4B6BA" w14:textId="5934C9C3" w:rsidR="00941C88" w:rsidRPr="00B969D6" w:rsidRDefault="00941C88" w:rsidP="00A622BC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</w:p>
        </w:tc>
      </w:tr>
      <w:tr w:rsidR="00A622BC" w:rsidRPr="00C535F2" w14:paraId="5FED75F5" w14:textId="77777777" w:rsidTr="00941C88">
        <w:tc>
          <w:tcPr>
            <w:tcW w:w="1653" w:type="dxa"/>
            <w:vMerge/>
            <w:shd w:val="clear" w:color="auto" w:fill="auto"/>
          </w:tcPr>
          <w:p w14:paraId="5FED75F1" w14:textId="77777777" w:rsidR="00A622BC" w:rsidRPr="00B969D6" w:rsidRDefault="00A622BC" w:rsidP="00A622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  <w:shd w:val="clear" w:color="auto" w:fill="auto"/>
          </w:tcPr>
          <w:p w14:paraId="5FED75F2" w14:textId="77777777" w:rsidR="00A622BC" w:rsidRPr="00B969D6" w:rsidRDefault="00A622BC" w:rsidP="00A622BC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 high level of interpersonal skills to engage and interact with the corporate business community</w:t>
            </w:r>
          </w:p>
        </w:tc>
        <w:tc>
          <w:tcPr>
            <w:tcW w:w="2958" w:type="dxa"/>
            <w:shd w:val="clear" w:color="auto" w:fill="auto"/>
          </w:tcPr>
          <w:p w14:paraId="5FED75F3" w14:textId="77777777" w:rsidR="00A622BC" w:rsidRPr="00B969D6" w:rsidRDefault="00A622BC" w:rsidP="00A622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auto"/>
          </w:tcPr>
          <w:p w14:paraId="5FED75F4" w14:textId="77777777" w:rsidR="00A622BC" w:rsidRPr="00B969D6" w:rsidRDefault="00A622BC" w:rsidP="00A622BC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</w:p>
        </w:tc>
      </w:tr>
      <w:tr w:rsidR="00A622BC" w:rsidRPr="00C535F2" w14:paraId="5FED75FA" w14:textId="77777777" w:rsidTr="00941C88">
        <w:tc>
          <w:tcPr>
            <w:tcW w:w="1653" w:type="dxa"/>
            <w:vMerge/>
            <w:shd w:val="clear" w:color="auto" w:fill="auto"/>
          </w:tcPr>
          <w:p w14:paraId="5FED75F6" w14:textId="77777777" w:rsidR="00A622BC" w:rsidRPr="00B969D6" w:rsidRDefault="00A622BC" w:rsidP="00A622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  <w:shd w:val="clear" w:color="auto" w:fill="auto"/>
          </w:tcPr>
          <w:p w14:paraId="5FED75F7" w14:textId="77777777" w:rsidR="00A622BC" w:rsidRPr="00B969D6" w:rsidRDefault="00A622BC" w:rsidP="00A622BC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 flexible, adaptable, professional and enthusiastic approach to work and a “can do” mentality it essential</w:t>
            </w:r>
          </w:p>
        </w:tc>
        <w:tc>
          <w:tcPr>
            <w:tcW w:w="2958" w:type="dxa"/>
            <w:shd w:val="clear" w:color="auto" w:fill="auto"/>
          </w:tcPr>
          <w:p w14:paraId="5FED75F8" w14:textId="77777777" w:rsidR="00A622BC" w:rsidRPr="00B969D6" w:rsidRDefault="00A622BC" w:rsidP="00A622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auto"/>
          </w:tcPr>
          <w:p w14:paraId="5FED75F9" w14:textId="77777777" w:rsidR="00A622BC" w:rsidRPr="00B969D6" w:rsidRDefault="00A622BC" w:rsidP="00A622BC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</w:p>
        </w:tc>
      </w:tr>
      <w:tr w:rsidR="00A622BC" w:rsidRPr="00C535F2" w14:paraId="5FED75FF" w14:textId="77777777" w:rsidTr="00941C88">
        <w:tc>
          <w:tcPr>
            <w:tcW w:w="1653" w:type="dxa"/>
            <w:vMerge/>
            <w:shd w:val="clear" w:color="auto" w:fill="auto"/>
          </w:tcPr>
          <w:p w14:paraId="5FED75FB" w14:textId="77777777" w:rsidR="00A622BC" w:rsidRPr="00C535F2" w:rsidRDefault="00A622BC" w:rsidP="003E05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14:paraId="5FED75FC" w14:textId="77777777" w:rsidR="00A622BC" w:rsidRDefault="00A622BC" w:rsidP="003E05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</w:tcPr>
          <w:p w14:paraId="5FED75FD" w14:textId="77777777" w:rsidR="00A622BC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 full clean driving licence</w:t>
            </w:r>
          </w:p>
        </w:tc>
        <w:tc>
          <w:tcPr>
            <w:tcW w:w="1791" w:type="dxa"/>
            <w:shd w:val="clear" w:color="auto" w:fill="auto"/>
          </w:tcPr>
          <w:p w14:paraId="5FED75FE" w14:textId="77777777" w:rsidR="00A622BC" w:rsidRPr="00B969D6" w:rsidRDefault="00A622BC" w:rsidP="003E052D">
            <w:pPr>
              <w:spacing w:after="0" w:line="240" w:lineRule="auto"/>
              <w:rPr>
                <w:rFonts w:ascii="Arial" w:hAnsi="Arial" w:cs="Arial"/>
              </w:rPr>
            </w:pPr>
            <w:r w:rsidRPr="00B969D6">
              <w:rPr>
                <w:rFonts w:ascii="Arial" w:hAnsi="Arial" w:cs="Arial"/>
              </w:rPr>
              <w:t>A/I</w:t>
            </w:r>
          </w:p>
        </w:tc>
      </w:tr>
    </w:tbl>
    <w:p w14:paraId="5FED7600" w14:textId="35812FF3" w:rsidR="00C267E2" w:rsidRDefault="00C267E2" w:rsidP="00CD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1950AC" w14:textId="3E38B6B1" w:rsidR="00B12B0C" w:rsidRDefault="00B12B0C" w:rsidP="00CD5B4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12B0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F136" w14:textId="77777777" w:rsidR="00480605" w:rsidRDefault="00480605" w:rsidP="00954075">
      <w:pPr>
        <w:spacing w:after="0" w:line="240" w:lineRule="auto"/>
      </w:pPr>
      <w:r>
        <w:separator/>
      </w:r>
    </w:p>
  </w:endnote>
  <w:endnote w:type="continuationSeparator" w:id="0">
    <w:p w14:paraId="5B6651D6" w14:textId="77777777" w:rsidR="00480605" w:rsidRDefault="00480605" w:rsidP="0095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425D" w14:textId="77777777" w:rsidR="00480605" w:rsidRDefault="00480605" w:rsidP="00954075">
      <w:pPr>
        <w:spacing w:after="0" w:line="240" w:lineRule="auto"/>
      </w:pPr>
      <w:r>
        <w:separator/>
      </w:r>
    </w:p>
  </w:footnote>
  <w:footnote w:type="continuationSeparator" w:id="0">
    <w:p w14:paraId="33919C6C" w14:textId="77777777" w:rsidR="00480605" w:rsidRDefault="00480605" w:rsidP="0095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7605" w14:textId="77777777" w:rsidR="00954075" w:rsidRDefault="00954075">
    <w:pPr>
      <w:pStyle w:val="Header"/>
    </w:pPr>
    <w:r w:rsidRPr="008C5F74">
      <w:rPr>
        <w:noProof/>
        <w:lang w:eastAsia="en-GB"/>
      </w:rPr>
      <w:drawing>
        <wp:inline distT="0" distB="0" distL="0" distR="0" wp14:anchorId="5FED7606" wp14:editId="5FED7607">
          <wp:extent cx="1628775" cy="1304925"/>
          <wp:effectExtent l="0" t="0" r="9525" b="9525"/>
          <wp:docPr id="3" name="Picture 3" descr="http://hub/marketing/New%20Logos/BSC-Logo-RGB_emails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hub/marketing/New%20Logos/BSC-Logo-RGB_emails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8DB"/>
    <w:multiLevelType w:val="multilevel"/>
    <w:tmpl w:val="E600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C738B7"/>
    <w:multiLevelType w:val="hybridMultilevel"/>
    <w:tmpl w:val="ED322A72"/>
    <w:lvl w:ilvl="0" w:tplc="81981F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B0BF1"/>
    <w:multiLevelType w:val="hybridMultilevel"/>
    <w:tmpl w:val="8494A4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210992"/>
    <w:multiLevelType w:val="hybridMultilevel"/>
    <w:tmpl w:val="B874E9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264B9"/>
    <w:multiLevelType w:val="hybridMultilevel"/>
    <w:tmpl w:val="B7F0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30165"/>
    <w:multiLevelType w:val="hybridMultilevel"/>
    <w:tmpl w:val="7214D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945AF"/>
    <w:multiLevelType w:val="hybridMultilevel"/>
    <w:tmpl w:val="68946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51340">
    <w:abstractNumId w:val="1"/>
  </w:num>
  <w:num w:numId="2" w16cid:durableId="906721657">
    <w:abstractNumId w:val="6"/>
  </w:num>
  <w:num w:numId="3" w16cid:durableId="1773043078">
    <w:abstractNumId w:val="2"/>
  </w:num>
  <w:num w:numId="4" w16cid:durableId="2140101660">
    <w:abstractNumId w:val="3"/>
  </w:num>
  <w:num w:numId="5" w16cid:durableId="1007455">
    <w:abstractNumId w:val="4"/>
  </w:num>
  <w:num w:numId="6" w16cid:durableId="2012683793">
    <w:abstractNumId w:val="5"/>
  </w:num>
  <w:num w:numId="7" w16cid:durableId="68171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A4"/>
    <w:rsid w:val="00045905"/>
    <w:rsid w:val="0008691E"/>
    <w:rsid w:val="000976D7"/>
    <w:rsid w:val="000D39E6"/>
    <w:rsid w:val="000E37EC"/>
    <w:rsid w:val="000F0FB7"/>
    <w:rsid w:val="00104A24"/>
    <w:rsid w:val="00141E32"/>
    <w:rsid w:val="00187A52"/>
    <w:rsid w:val="001B4908"/>
    <w:rsid w:val="001B589D"/>
    <w:rsid w:val="00225194"/>
    <w:rsid w:val="002A16B3"/>
    <w:rsid w:val="002E488E"/>
    <w:rsid w:val="002E515F"/>
    <w:rsid w:val="0033085F"/>
    <w:rsid w:val="003574C4"/>
    <w:rsid w:val="00380D8D"/>
    <w:rsid w:val="00392A01"/>
    <w:rsid w:val="003D574D"/>
    <w:rsid w:val="003E79F5"/>
    <w:rsid w:val="00431F47"/>
    <w:rsid w:val="00435443"/>
    <w:rsid w:val="00465D38"/>
    <w:rsid w:val="00480605"/>
    <w:rsid w:val="00551CD3"/>
    <w:rsid w:val="00561DB1"/>
    <w:rsid w:val="00577D74"/>
    <w:rsid w:val="005C1992"/>
    <w:rsid w:val="005F1BBC"/>
    <w:rsid w:val="0060197A"/>
    <w:rsid w:val="0062507E"/>
    <w:rsid w:val="00626A34"/>
    <w:rsid w:val="00645EB0"/>
    <w:rsid w:val="00666D0D"/>
    <w:rsid w:val="006F5C45"/>
    <w:rsid w:val="00710583"/>
    <w:rsid w:val="00723E47"/>
    <w:rsid w:val="007676A0"/>
    <w:rsid w:val="0077777A"/>
    <w:rsid w:val="007F2E56"/>
    <w:rsid w:val="00847F6B"/>
    <w:rsid w:val="0088345B"/>
    <w:rsid w:val="0089483F"/>
    <w:rsid w:val="008E2B29"/>
    <w:rsid w:val="008F5B28"/>
    <w:rsid w:val="009402CD"/>
    <w:rsid w:val="00941C88"/>
    <w:rsid w:val="00954075"/>
    <w:rsid w:val="00982220"/>
    <w:rsid w:val="009E4D81"/>
    <w:rsid w:val="00A622BC"/>
    <w:rsid w:val="00AA14D8"/>
    <w:rsid w:val="00B12B0C"/>
    <w:rsid w:val="00B13B28"/>
    <w:rsid w:val="00B25682"/>
    <w:rsid w:val="00B271BE"/>
    <w:rsid w:val="00B969D6"/>
    <w:rsid w:val="00C00DC2"/>
    <w:rsid w:val="00C267E2"/>
    <w:rsid w:val="00C34B7D"/>
    <w:rsid w:val="00C66A06"/>
    <w:rsid w:val="00CB16D4"/>
    <w:rsid w:val="00CB54A4"/>
    <w:rsid w:val="00CD5B46"/>
    <w:rsid w:val="00CF4ADF"/>
    <w:rsid w:val="00D40A3B"/>
    <w:rsid w:val="00D413A1"/>
    <w:rsid w:val="00D701C6"/>
    <w:rsid w:val="00D74A61"/>
    <w:rsid w:val="00D8763F"/>
    <w:rsid w:val="00DC1573"/>
    <w:rsid w:val="00DE2C75"/>
    <w:rsid w:val="00DE4D91"/>
    <w:rsid w:val="00E26526"/>
    <w:rsid w:val="00E728D6"/>
    <w:rsid w:val="00EB2343"/>
    <w:rsid w:val="00F73FB9"/>
    <w:rsid w:val="00FD2BC4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755E"/>
  <w15:chartTrackingRefBased/>
  <w15:docId w15:val="{E4553077-553B-4FE5-887A-A79B9AE4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E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D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54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07ACE75B884DB26F3DED74EFECED" ma:contentTypeVersion="16" ma:contentTypeDescription="Create a new document." ma:contentTypeScope="" ma:versionID="5ea598b1ec6fd58191c5d716bbf45537">
  <xsd:schema xmlns:xsd="http://www.w3.org/2001/XMLSchema" xmlns:xs="http://www.w3.org/2001/XMLSchema" xmlns:p="http://schemas.microsoft.com/office/2006/metadata/properties" xmlns:ns2="913ff4e2-907a-42e1-863e-95a07c75cdf0" xmlns:ns3="b05411ae-4949-45a7-a77f-9ad03bc54b73" targetNamespace="http://schemas.microsoft.com/office/2006/metadata/properties" ma:root="true" ma:fieldsID="6049c814680964c320379d5d8d7834ef" ns2:_="" ns3:_="">
    <xsd:import namespace="913ff4e2-907a-42e1-863e-95a07c75cdf0"/>
    <xsd:import namespace="b05411ae-4949-45a7-a77f-9ad03bc54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f4e2-907a-42e1-863e-95a07c75c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902adc-8909-4d7b-bb3b-297193808f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411ae-4949-45a7-a77f-9ad03bc54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1570a0-0a7e-49fe-bfe9-f9ab15133bae}" ma:internalName="TaxCatchAll" ma:showField="CatchAllData" ma:web="b05411ae-4949-45a7-a77f-9ad03bc54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BD5B9-1136-4549-9C43-59C630D3BC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F7C463-2B4B-4588-8C74-51A54759C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ff4e2-907a-42e1-863e-95a07c75cdf0"/>
    <ds:schemaRef ds:uri="b05411ae-4949-45a7-a77f-9ad03bc54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ED7AA-175D-4EAA-B453-724E03D22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Barnet and Southgate College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Barrett</dc:creator>
  <cp:keywords/>
  <dc:description/>
  <cp:lastModifiedBy>Shaheen Jiwaji</cp:lastModifiedBy>
  <cp:revision>47</cp:revision>
  <cp:lastPrinted>2016-04-26T11:36:00Z</cp:lastPrinted>
  <dcterms:created xsi:type="dcterms:W3CDTF">2022-10-13T08:21:00Z</dcterms:created>
  <dcterms:modified xsi:type="dcterms:W3CDTF">2023-12-05T11:16:00Z</dcterms:modified>
</cp:coreProperties>
</file>