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55" w:rsidRDefault="00AE6955" w:rsidP="00512C9E">
      <w:pPr>
        <w:spacing w:after="0" w:line="240" w:lineRule="auto"/>
        <w:jc w:val="center"/>
        <w:rPr>
          <w:rFonts w:ascii="Arial" w:hAnsi="Arial" w:cs="Arial"/>
          <w:sz w:val="20"/>
          <w:szCs w:val="20"/>
        </w:rPr>
      </w:pPr>
      <w:bookmarkStart w:id="0" w:name="_GoBack"/>
      <w:bookmarkEnd w:id="0"/>
      <w:r>
        <w:rPr>
          <w:noProof/>
          <w:lang w:eastAsia="en-GB"/>
        </w:rPr>
        <w:drawing>
          <wp:inline distT="0" distB="0" distL="0" distR="0">
            <wp:extent cx="1857375" cy="971550"/>
            <wp:effectExtent l="0" t="0" r="9525" b="0"/>
            <wp:docPr id="2" name="Picture 2" descr="https://staff.wnsc.ac.uk/Resources/NSC%20Branding%20Info/NSC_Logo%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ff.wnsc.ac.uk/Resources/NSC%20Branding%20Info/NSC_Logo%20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971550"/>
                    </a:xfrm>
                    <a:prstGeom prst="rect">
                      <a:avLst/>
                    </a:prstGeom>
                    <a:noFill/>
                    <a:ln>
                      <a:noFill/>
                    </a:ln>
                  </pic:spPr>
                </pic:pic>
              </a:graphicData>
            </a:graphic>
          </wp:inline>
        </w:drawing>
      </w:r>
    </w:p>
    <w:p w:rsidR="00AE6955" w:rsidRDefault="00AE6955" w:rsidP="00121ED8">
      <w:pPr>
        <w:spacing w:after="0" w:line="240" w:lineRule="auto"/>
        <w:rPr>
          <w:rFonts w:ascii="Arial" w:hAnsi="Arial" w:cs="Arial"/>
          <w:sz w:val="20"/>
          <w:szCs w:val="20"/>
        </w:rPr>
      </w:pPr>
    </w:p>
    <w:p w:rsidR="00512C9E" w:rsidRDefault="00512C9E" w:rsidP="00512C9E">
      <w:pPr>
        <w:keepNext/>
        <w:spacing w:after="0" w:line="240" w:lineRule="auto"/>
        <w:jc w:val="center"/>
        <w:outlineLvl w:val="2"/>
        <w:rPr>
          <w:rFonts w:ascii="Calibri" w:eastAsiaTheme="minorEastAsia" w:hAnsi="Calibri" w:cs="Calibri"/>
          <w:b/>
          <w:bCs/>
          <w:sz w:val="32"/>
          <w:szCs w:val="24"/>
        </w:rPr>
      </w:pPr>
    </w:p>
    <w:p w:rsidR="00AE6955" w:rsidRDefault="00AE6955" w:rsidP="00512C9E">
      <w:pPr>
        <w:keepNext/>
        <w:spacing w:after="0" w:line="240" w:lineRule="auto"/>
        <w:jc w:val="center"/>
        <w:outlineLvl w:val="2"/>
        <w:rPr>
          <w:rFonts w:ascii="Calibri" w:eastAsiaTheme="minorEastAsia" w:hAnsi="Calibri" w:cs="Calibri"/>
          <w:b/>
          <w:bCs/>
          <w:sz w:val="32"/>
          <w:szCs w:val="24"/>
        </w:rPr>
      </w:pPr>
      <w:r w:rsidRPr="00AE6955">
        <w:rPr>
          <w:rFonts w:ascii="Calibri" w:eastAsiaTheme="minorEastAsia" w:hAnsi="Calibri" w:cs="Calibri"/>
          <w:b/>
          <w:bCs/>
          <w:sz w:val="32"/>
          <w:szCs w:val="24"/>
        </w:rPr>
        <w:t>JOB DESCRIPTION</w:t>
      </w:r>
    </w:p>
    <w:p w:rsidR="00AE6955" w:rsidRDefault="00AE6955" w:rsidP="00121ED8">
      <w:pPr>
        <w:keepNext/>
        <w:spacing w:after="0" w:line="240" w:lineRule="auto"/>
        <w:outlineLvl w:val="2"/>
        <w:rPr>
          <w:rFonts w:ascii="Calibri" w:eastAsiaTheme="minorEastAsia" w:hAnsi="Calibri" w:cs="Calibri"/>
          <w:b/>
          <w:bCs/>
          <w:sz w:val="32"/>
          <w:szCs w:val="24"/>
        </w:rPr>
      </w:pPr>
    </w:p>
    <w:p w:rsidR="00AE6955" w:rsidRPr="00AE6955" w:rsidRDefault="00AE6955" w:rsidP="00121ED8">
      <w:pPr>
        <w:keepNext/>
        <w:spacing w:after="0" w:line="240" w:lineRule="auto"/>
        <w:outlineLvl w:val="2"/>
        <w:rPr>
          <w:rFonts w:ascii="Calibri" w:eastAsiaTheme="minorEastAsia" w:hAnsi="Calibri" w:cs="Calibri"/>
          <w:b/>
          <w:bCs/>
          <w:sz w:val="28"/>
          <w:szCs w:val="24"/>
        </w:rPr>
      </w:pPr>
      <w:r w:rsidRPr="00AE6955">
        <w:rPr>
          <w:rFonts w:ascii="Calibri" w:eastAsiaTheme="minorEastAsia" w:hAnsi="Calibri" w:cs="Calibri"/>
          <w:b/>
          <w:bCs/>
          <w:sz w:val="28"/>
          <w:szCs w:val="24"/>
        </w:rPr>
        <w:t>Job Title:</w:t>
      </w:r>
      <w:r w:rsidRPr="00AE6955">
        <w:rPr>
          <w:rFonts w:ascii="Calibri" w:eastAsiaTheme="minorEastAsia" w:hAnsi="Calibri" w:cs="Calibri"/>
          <w:b/>
          <w:bCs/>
          <w:sz w:val="28"/>
          <w:szCs w:val="24"/>
        </w:rPr>
        <w:tab/>
      </w:r>
      <w:r w:rsidRPr="00AE6955">
        <w:rPr>
          <w:rFonts w:ascii="Calibri" w:eastAsiaTheme="minorEastAsia" w:hAnsi="Calibri" w:cs="Calibri"/>
          <w:b/>
          <w:bCs/>
          <w:sz w:val="28"/>
          <w:szCs w:val="24"/>
        </w:rPr>
        <w:tab/>
      </w:r>
      <w:r w:rsidRPr="00AE6955">
        <w:rPr>
          <w:rFonts w:ascii="Calibri" w:eastAsiaTheme="minorEastAsia" w:hAnsi="Calibri" w:cs="Calibri"/>
          <w:b/>
          <w:bCs/>
          <w:sz w:val="28"/>
          <w:szCs w:val="24"/>
        </w:rPr>
        <w:tab/>
        <w:t>Senior Assessor (Apprenticeships)</w:t>
      </w:r>
    </w:p>
    <w:p w:rsidR="00AE6955" w:rsidRDefault="00AE6955" w:rsidP="00121ED8">
      <w:pPr>
        <w:keepNext/>
        <w:spacing w:after="0" w:line="240" w:lineRule="auto"/>
        <w:outlineLvl w:val="2"/>
        <w:rPr>
          <w:rFonts w:ascii="Calibri" w:eastAsiaTheme="minorEastAsia" w:hAnsi="Calibri" w:cs="Calibri"/>
          <w:b/>
          <w:bCs/>
          <w:sz w:val="32"/>
          <w:szCs w:val="24"/>
        </w:rPr>
      </w:pPr>
    </w:p>
    <w:p w:rsidR="00AE6955" w:rsidRPr="00AE6955" w:rsidRDefault="00AE6955" w:rsidP="00121ED8">
      <w:pPr>
        <w:keepNext/>
        <w:spacing w:after="0" w:line="240" w:lineRule="auto"/>
        <w:outlineLvl w:val="2"/>
        <w:rPr>
          <w:rFonts w:ascii="Calibri" w:eastAsiaTheme="minorEastAsia" w:hAnsi="Calibri" w:cs="Calibri"/>
          <w:b/>
          <w:bCs/>
          <w:sz w:val="28"/>
          <w:szCs w:val="24"/>
        </w:rPr>
      </w:pPr>
      <w:r w:rsidRPr="00AE6955">
        <w:rPr>
          <w:rFonts w:ascii="Calibri" w:eastAsiaTheme="minorEastAsia" w:hAnsi="Calibri" w:cs="Calibri"/>
          <w:b/>
          <w:bCs/>
          <w:sz w:val="28"/>
          <w:szCs w:val="24"/>
        </w:rPr>
        <w:t>Responsible To:</w:t>
      </w:r>
      <w:r w:rsidRPr="00AE6955">
        <w:rPr>
          <w:rFonts w:ascii="Calibri" w:eastAsiaTheme="minorEastAsia" w:hAnsi="Calibri" w:cs="Calibri"/>
          <w:b/>
          <w:bCs/>
          <w:sz w:val="28"/>
          <w:szCs w:val="24"/>
        </w:rPr>
        <w:tab/>
      </w:r>
      <w:r w:rsidRPr="00AE6955">
        <w:rPr>
          <w:rFonts w:ascii="Calibri" w:eastAsiaTheme="minorEastAsia" w:hAnsi="Calibri" w:cs="Calibri"/>
          <w:b/>
          <w:bCs/>
          <w:sz w:val="28"/>
          <w:szCs w:val="24"/>
        </w:rPr>
        <w:tab/>
      </w:r>
      <w:r w:rsidR="00FB1159">
        <w:rPr>
          <w:rFonts w:ascii="Calibri" w:eastAsiaTheme="minorEastAsia" w:hAnsi="Calibri" w:cs="Calibri"/>
          <w:b/>
          <w:bCs/>
          <w:sz w:val="28"/>
          <w:szCs w:val="24"/>
        </w:rPr>
        <w:t>Apprenticeships Manager</w:t>
      </w:r>
    </w:p>
    <w:p w:rsidR="00AE6955" w:rsidRDefault="00AE6955" w:rsidP="00121ED8">
      <w:pPr>
        <w:keepNext/>
        <w:spacing w:after="0" w:line="240" w:lineRule="auto"/>
        <w:outlineLvl w:val="2"/>
        <w:rPr>
          <w:rFonts w:ascii="Calibri" w:eastAsiaTheme="minorEastAsia" w:hAnsi="Calibri" w:cs="Calibri"/>
          <w:b/>
          <w:bCs/>
          <w:sz w:val="32"/>
          <w:szCs w:val="24"/>
        </w:rPr>
      </w:pPr>
    </w:p>
    <w:p w:rsidR="00AE6955" w:rsidRPr="00AE6955" w:rsidRDefault="00AE6955" w:rsidP="00121ED8">
      <w:pPr>
        <w:keepNext/>
        <w:spacing w:after="0" w:line="240" w:lineRule="auto"/>
        <w:outlineLvl w:val="2"/>
        <w:rPr>
          <w:rFonts w:ascii="Calibri" w:eastAsiaTheme="minorEastAsia" w:hAnsi="Calibri" w:cs="Calibri"/>
          <w:b/>
          <w:bCs/>
          <w:sz w:val="28"/>
          <w:szCs w:val="24"/>
        </w:rPr>
      </w:pPr>
      <w:r w:rsidRPr="00AE6955">
        <w:rPr>
          <w:rFonts w:ascii="Calibri" w:eastAsiaTheme="minorEastAsia" w:hAnsi="Calibri" w:cs="Calibri"/>
          <w:b/>
          <w:bCs/>
          <w:sz w:val="28"/>
          <w:szCs w:val="24"/>
        </w:rPr>
        <w:t>Salary:</w:t>
      </w:r>
      <w:r w:rsidRPr="00AE6955">
        <w:rPr>
          <w:rFonts w:ascii="Calibri" w:eastAsiaTheme="minorEastAsia" w:hAnsi="Calibri" w:cs="Calibri"/>
          <w:b/>
          <w:bCs/>
          <w:sz w:val="28"/>
          <w:szCs w:val="24"/>
        </w:rPr>
        <w:tab/>
      </w:r>
      <w:r w:rsidRPr="00AE6955">
        <w:rPr>
          <w:rFonts w:ascii="Calibri" w:eastAsiaTheme="minorEastAsia" w:hAnsi="Calibri" w:cs="Calibri"/>
          <w:b/>
          <w:bCs/>
          <w:sz w:val="28"/>
          <w:szCs w:val="24"/>
        </w:rPr>
        <w:tab/>
      </w:r>
      <w:r w:rsidRPr="00AE6955">
        <w:rPr>
          <w:rFonts w:ascii="Calibri" w:eastAsiaTheme="minorEastAsia" w:hAnsi="Calibri" w:cs="Calibri"/>
          <w:b/>
          <w:bCs/>
          <w:sz w:val="28"/>
          <w:szCs w:val="24"/>
        </w:rPr>
        <w:tab/>
      </w:r>
      <w:r w:rsidR="000215D5">
        <w:rPr>
          <w:rFonts w:ascii="Calibri" w:eastAsiaTheme="minorEastAsia" w:hAnsi="Calibri" w:cs="Calibri"/>
          <w:b/>
          <w:bCs/>
          <w:sz w:val="28"/>
          <w:szCs w:val="24"/>
        </w:rPr>
        <w:t>Up to £26,031</w:t>
      </w:r>
    </w:p>
    <w:p w:rsidR="00AE6955" w:rsidRDefault="00AE6955" w:rsidP="00121ED8">
      <w:pPr>
        <w:keepNext/>
        <w:spacing w:after="0" w:line="240" w:lineRule="auto"/>
        <w:outlineLvl w:val="2"/>
        <w:rPr>
          <w:rFonts w:ascii="Calibri" w:eastAsiaTheme="minorEastAsia" w:hAnsi="Calibri" w:cs="Calibri"/>
          <w:b/>
          <w:bCs/>
          <w:sz w:val="32"/>
          <w:szCs w:val="24"/>
        </w:rPr>
      </w:pPr>
    </w:p>
    <w:p w:rsidR="00AE6955" w:rsidRPr="00AE6955" w:rsidRDefault="00AE6955" w:rsidP="00121ED8">
      <w:pPr>
        <w:keepNext/>
        <w:spacing w:after="0" w:line="240" w:lineRule="auto"/>
        <w:outlineLvl w:val="2"/>
        <w:rPr>
          <w:rFonts w:ascii="Calibri" w:eastAsiaTheme="minorEastAsia" w:hAnsi="Calibri" w:cs="Calibri"/>
          <w:b/>
          <w:bCs/>
          <w:sz w:val="28"/>
          <w:szCs w:val="24"/>
        </w:rPr>
      </w:pPr>
      <w:r w:rsidRPr="00AE6955">
        <w:rPr>
          <w:rFonts w:ascii="Calibri" w:eastAsiaTheme="minorEastAsia" w:hAnsi="Calibri" w:cs="Calibri"/>
          <w:b/>
          <w:bCs/>
          <w:sz w:val="28"/>
          <w:szCs w:val="24"/>
        </w:rPr>
        <w:t>Main Purpose of Post:</w:t>
      </w:r>
    </w:p>
    <w:p w:rsidR="00BE5A6E" w:rsidRDefault="00BF44D7" w:rsidP="00121ED8">
      <w:pPr>
        <w:pStyle w:val="Default"/>
        <w:rPr>
          <w:szCs w:val="23"/>
        </w:rPr>
      </w:pPr>
      <w:proofErr w:type="gramStart"/>
      <w:r>
        <w:rPr>
          <w:szCs w:val="23"/>
        </w:rPr>
        <w:t>To act in a senior role within the apprenticeship team.</w:t>
      </w:r>
      <w:proofErr w:type="gramEnd"/>
      <w:r>
        <w:rPr>
          <w:szCs w:val="23"/>
        </w:rPr>
        <w:t xml:space="preserve">  Support assessors and IQA’s across a range of occupational areas – both apprenticeship and non-apprenticeship provision, to deliver high quality learning experiences which equip the learner with skills and knowledge to meet needs of employers.</w:t>
      </w:r>
    </w:p>
    <w:p w:rsidR="00031960" w:rsidRDefault="00031960" w:rsidP="00121ED8">
      <w:pPr>
        <w:pStyle w:val="Default"/>
        <w:rPr>
          <w:szCs w:val="23"/>
        </w:rPr>
      </w:pPr>
    </w:p>
    <w:p w:rsidR="00BE5A6E" w:rsidRDefault="00BE5A6E" w:rsidP="00121ED8">
      <w:pPr>
        <w:pStyle w:val="Default"/>
        <w:rPr>
          <w:szCs w:val="23"/>
        </w:rPr>
      </w:pPr>
      <w:r>
        <w:rPr>
          <w:szCs w:val="23"/>
        </w:rPr>
        <w:t xml:space="preserve">MAIN DUTIES AND RESPONSIBILITIES TO INCLUDE: </w:t>
      </w:r>
    </w:p>
    <w:p w:rsidR="00BE5A6E" w:rsidRPr="00BB5801" w:rsidRDefault="00BE5A6E" w:rsidP="00121ED8">
      <w:pPr>
        <w:pStyle w:val="Default"/>
        <w:rPr>
          <w:szCs w:val="23"/>
        </w:rPr>
      </w:pPr>
    </w:p>
    <w:p w:rsidR="00031960" w:rsidRDefault="00031960" w:rsidP="00121ED8">
      <w:pPr>
        <w:pStyle w:val="Default"/>
        <w:ind w:left="720"/>
        <w:rPr>
          <w:szCs w:val="23"/>
        </w:rPr>
      </w:pPr>
    </w:p>
    <w:p w:rsidR="00031960" w:rsidRDefault="00031960" w:rsidP="00121ED8">
      <w:pPr>
        <w:pStyle w:val="Default"/>
        <w:numPr>
          <w:ilvl w:val="0"/>
          <w:numId w:val="1"/>
        </w:numPr>
        <w:rPr>
          <w:szCs w:val="23"/>
        </w:rPr>
      </w:pPr>
      <w:r>
        <w:rPr>
          <w:szCs w:val="23"/>
        </w:rPr>
        <w:t>Support Assessors to ensure delivery of outstanding learner experience to learners in a range of specialist areas</w:t>
      </w:r>
    </w:p>
    <w:p w:rsidR="00121ED8" w:rsidRDefault="00121ED8" w:rsidP="00121ED8">
      <w:pPr>
        <w:pStyle w:val="Default"/>
        <w:rPr>
          <w:szCs w:val="23"/>
        </w:rPr>
      </w:pPr>
    </w:p>
    <w:p w:rsidR="00121ED8" w:rsidRDefault="00121ED8" w:rsidP="00121ED8">
      <w:pPr>
        <w:pStyle w:val="Default"/>
        <w:numPr>
          <w:ilvl w:val="0"/>
          <w:numId w:val="1"/>
        </w:numPr>
        <w:rPr>
          <w:szCs w:val="23"/>
        </w:rPr>
      </w:pPr>
      <w:r>
        <w:rPr>
          <w:szCs w:val="23"/>
        </w:rPr>
        <w:t>Establishes effective working relationships with interdependent areas of College the College to support co-operative partnership working and to maximise the learner experience.</w:t>
      </w:r>
    </w:p>
    <w:p w:rsidR="003831D8" w:rsidRDefault="003831D8" w:rsidP="003831D8">
      <w:pPr>
        <w:pStyle w:val="ListParagraph"/>
        <w:rPr>
          <w:szCs w:val="23"/>
        </w:rPr>
      </w:pPr>
    </w:p>
    <w:p w:rsidR="003831D8" w:rsidRDefault="003831D8" w:rsidP="00121ED8">
      <w:pPr>
        <w:pStyle w:val="Default"/>
        <w:numPr>
          <w:ilvl w:val="0"/>
          <w:numId w:val="1"/>
        </w:numPr>
        <w:rPr>
          <w:szCs w:val="23"/>
        </w:rPr>
      </w:pPr>
      <w:r>
        <w:rPr>
          <w:szCs w:val="23"/>
        </w:rPr>
        <w:t xml:space="preserve">Monitor caseload of </w:t>
      </w:r>
      <w:proofErr w:type="gramStart"/>
      <w:r>
        <w:rPr>
          <w:szCs w:val="23"/>
        </w:rPr>
        <w:t>assessors  and</w:t>
      </w:r>
      <w:proofErr w:type="gramEnd"/>
      <w:r>
        <w:rPr>
          <w:szCs w:val="23"/>
        </w:rPr>
        <w:t xml:space="preserve"> report on a monthly basis to the Apprenticeships Manager on capacity.</w:t>
      </w:r>
    </w:p>
    <w:p w:rsidR="003831D8" w:rsidRDefault="003831D8" w:rsidP="003831D8">
      <w:pPr>
        <w:pStyle w:val="ListParagraph"/>
        <w:rPr>
          <w:szCs w:val="23"/>
        </w:rPr>
      </w:pPr>
    </w:p>
    <w:p w:rsidR="003831D8" w:rsidRDefault="003831D8" w:rsidP="003831D8">
      <w:pPr>
        <w:pStyle w:val="ListParagraph"/>
        <w:numPr>
          <w:ilvl w:val="0"/>
          <w:numId w:val="1"/>
        </w:numPr>
        <w:rPr>
          <w:rFonts w:ascii="Calibri" w:hAnsi="Calibri" w:cs="Calibri"/>
          <w:color w:val="000000"/>
          <w:sz w:val="24"/>
          <w:szCs w:val="23"/>
        </w:rPr>
      </w:pPr>
      <w:r w:rsidRPr="003831D8">
        <w:rPr>
          <w:rFonts w:ascii="Calibri" w:hAnsi="Calibri" w:cs="Calibri"/>
          <w:color w:val="000000"/>
          <w:sz w:val="24"/>
          <w:szCs w:val="23"/>
        </w:rPr>
        <w:t>Ensure accuracy and timely completion of all associated paperwork and forward to the MIS Department.</w:t>
      </w:r>
    </w:p>
    <w:p w:rsidR="006105E5" w:rsidRPr="006105E5" w:rsidRDefault="006105E5" w:rsidP="006105E5">
      <w:pPr>
        <w:pStyle w:val="ListParagraph"/>
        <w:rPr>
          <w:rFonts w:ascii="Calibri" w:hAnsi="Calibri" w:cs="Calibri"/>
          <w:color w:val="000000"/>
          <w:sz w:val="24"/>
          <w:szCs w:val="23"/>
        </w:rPr>
      </w:pPr>
    </w:p>
    <w:p w:rsid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Conduct timely and comprehensive reviews of learner progress and update training plans and college tracking systems</w:t>
      </w:r>
    </w:p>
    <w:p w:rsidR="006105E5" w:rsidRPr="006105E5" w:rsidRDefault="006105E5" w:rsidP="006105E5">
      <w:pPr>
        <w:pStyle w:val="ListParagraph"/>
        <w:rPr>
          <w:rFonts w:ascii="Calibri" w:hAnsi="Calibri" w:cs="Calibri"/>
          <w:color w:val="000000"/>
          <w:sz w:val="24"/>
          <w:szCs w:val="23"/>
        </w:rPr>
      </w:pPr>
    </w:p>
    <w:p w:rsid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Drive the effective performance of assessors and provide support to Apprenticeship Manager, setting out high expectations of all staff and tackles any poor performance effectively through the performance management process</w:t>
      </w:r>
    </w:p>
    <w:p w:rsidR="006105E5" w:rsidRPr="006105E5" w:rsidRDefault="006105E5" w:rsidP="006105E5">
      <w:pPr>
        <w:pStyle w:val="ListParagraph"/>
        <w:rPr>
          <w:rFonts w:ascii="Calibri" w:hAnsi="Calibri" w:cs="Calibri"/>
          <w:color w:val="000000"/>
          <w:sz w:val="24"/>
          <w:szCs w:val="23"/>
        </w:rPr>
      </w:pPr>
    </w:p>
    <w:p w:rsid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Ensure that all apprentices are enrolled on to an appropriate functional skill.  Liaise with the Curriculum Manager – Maths &amp; English plus Functional Skills tutors in order to monitor performance.  Ensure assessors continue to embed functional skills in framework delivery.</w:t>
      </w:r>
    </w:p>
    <w:p w:rsidR="006105E5" w:rsidRPr="006105E5" w:rsidRDefault="006105E5" w:rsidP="006105E5">
      <w:pPr>
        <w:pStyle w:val="ListParagraph"/>
        <w:rPr>
          <w:rFonts w:ascii="Calibri" w:hAnsi="Calibri" w:cs="Calibri"/>
          <w:color w:val="000000"/>
          <w:sz w:val="24"/>
          <w:szCs w:val="23"/>
        </w:rPr>
      </w:pPr>
    </w:p>
    <w:p w:rsid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Prepare and collect evidence for inspection by internal and external audits when required</w:t>
      </w:r>
    </w:p>
    <w:p w:rsidR="006105E5" w:rsidRPr="006105E5" w:rsidRDefault="006105E5" w:rsidP="006105E5">
      <w:pPr>
        <w:pStyle w:val="ListParagraph"/>
        <w:rPr>
          <w:rFonts w:ascii="Calibri" w:hAnsi="Calibri" w:cs="Calibri"/>
          <w:color w:val="000000"/>
          <w:sz w:val="24"/>
          <w:szCs w:val="23"/>
        </w:rPr>
      </w:pPr>
    </w:p>
    <w:p w:rsid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Maintain quality assurance systems to awarding body organisation guidelines</w:t>
      </w:r>
    </w:p>
    <w:p w:rsidR="006105E5" w:rsidRPr="006105E5" w:rsidRDefault="006105E5" w:rsidP="006105E5">
      <w:pPr>
        <w:pStyle w:val="ListParagraph"/>
        <w:rPr>
          <w:rFonts w:ascii="Calibri" w:hAnsi="Calibri" w:cs="Calibri"/>
          <w:color w:val="000000"/>
          <w:sz w:val="24"/>
          <w:szCs w:val="23"/>
        </w:rPr>
      </w:pPr>
    </w:p>
    <w:p w:rsidR="006105E5" w:rsidRPr="006105E5" w:rsidRDefault="006105E5" w:rsidP="006105E5">
      <w:pPr>
        <w:pStyle w:val="ListParagraph"/>
        <w:numPr>
          <w:ilvl w:val="0"/>
          <w:numId w:val="1"/>
        </w:numPr>
        <w:rPr>
          <w:rFonts w:ascii="Calibri" w:hAnsi="Calibri" w:cs="Calibri"/>
          <w:color w:val="000000"/>
          <w:sz w:val="24"/>
          <w:szCs w:val="23"/>
        </w:rPr>
      </w:pPr>
      <w:r w:rsidRPr="006105E5">
        <w:rPr>
          <w:rFonts w:ascii="Calibri" w:hAnsi="Calibri" w:cs="Calibri"/>
          <w:color w:val="000000"/>
          <w:sz w:val="24"/>
          <w:szCs w:val="23"/>
        </w:rPr>
        <w:t>Management of IQA quality processes and procedures and External Verifier visits</w:t>
      </w:r>
    </w:p>
    <w:p w:rsidR="00F36AC3" w:rsidRDefault="00F36AC3" w:rsidP="00F36AC3">
      <w:pPr>
        <w:pStyle w:val="ListParagraph"/>
        <w:rPr>
          <w:rFonts w:ascii="Calibri" w:hAnsi="Calibri" w:cs="Calibri"/>
          <w:color w:val="000000"/>
          <w:sz w:val="24"/>
          <w:szCs w:val="24"/>
        </w:rPr>
      </w:pPr>
    </w:p>
    <w:p w:rsidR="00F36AC3" w:rsidRPr="00851F84" w:rsidRDefault="00F36AC3" w:rsidP="00F36AC3">
      <w:pPr>
        <w:numPr>
          <w:ilvl w:val="0"/>
          <w:numId w:val="1"/>
        </w:numPr>
        <w:tabs>
          <w:tab w:val="left" w:pos="720"/>
        </w:tabs>
        <w:spacing w:after="0" w:line="240" w:lineRule="auto"/>
        <w:rPr>
          <w:rFonts w:ascii="Calibri" w:hAnsi="Calibri" w:cs="Calibri"/>
          <w:color w:val="000000"/>
          <w:sz w:val="24"/>
          <w:szCs w:val="24"/>
        </w:rPr>
      </w:pPr>
      <w:proofErr w:type="gramStart"/>
      <w:r>
        <w:rPr>
          <w:rFonts w:ascii="Calibri" w:hAnsi="Calibri" w:cs="Calibri"/>
          <w:color w:val="000000"/>
          <w:sz w:val="24"/>
          <w:szCs w:val="24"/>
        </w:rPr>
        <w:t>Working closely with Assessors ensure</w:t>
      </w:r>
      <w:proofErr w:type="gramEnd"/>
      <w:r>
        <w:rPr>
          <w:rFonts w:ascii="Calibri" w:hAnsi="Calibri" w:cs="Calibri"/>
          <w:color w:val="000000"/>
          <w:sz w:val="24"/>
          <w:szCs w:val="24"/>
        </w:rPr>
        <w:t xml:space="preserve"> that attendance targets are being met, and where relevant proactively address issues of safeguarding and report to the Designated Safeguarding Lead.</w:t>
      </w:r>
    </w:p>
    <w:p w:rsidR="00F36AC3" w:rsidRDefault="00F36AC3" w:rsidP="00F36AC3">
      <w:pPr>
        <w:pStyle w:val="Default"/>
        <w:ind w:left="720"/>
        <w:rPr>
          <w:szCs w:val="23"/>
        </w:rPr>
      </w:pPr>
    </w:p>
    <w:p w:rsidR="00121ED8" w:rsidRDefault="00121ED8" w:rsidP="00121ED8">
      <w:pPr>
        <w:pStyle w:val="Default"/>
        <w:rPr>
          <w:szCs w:val="23"/>
        </w:rPr>
      </w:pPr>
    </w:p>
    <w:p w:rsidR="00031960" w:rsidRPr="00031960" w:rsidRDefault="00031960" w:rsidP="00121ED8">
      <w:pPr>
        <w:pStyle w:val="Default"/>
        <w:numPr>
          <w:ilvl w:val="0"/>
          <w:numId w:val="1"/>
        </w:numPr>
        <w:rPr>
          <w:szCs w:val="23"/>
        </w:rPr>
      </w:pPr>
      <w:r>
        <w:rPr>
          <w:szCs w:val="23"/>
        </w:rPr>
        <w:t>Develop assessors within the team through induction and probationary processes and the delivery of subsequent development in order to maintain the skills</w:t>
      </w:r>
      <w:r w:rsidR="0013783D">
        <w:rPr>
          <w:szCs w:val="23"/>
        </w:rPr>
        <w:t xml:space="preserve"> profile at an appropriate  and professional level to be fully effective in their roles</w:t>
      </w:r>
    </w:p>
    <w:p w:rsidR="00031960" w:rsidRPr="00031960" w:rsidRDefault="00031960" w:rsidP="00121ED8">
      <w:pPr>
        <w:pStyle w:val="Default"/>
        <w:rPr>
          <w:szCs w:val="23"/>
        </w:rPr>
      </w:pPr>
    </w:p>
    <w:p w:rsidR="00BE5A6E" w:rsidRDefault="00BE5A6E" w:rsidP="00121ED8">
      <w:pPr>
        <w:pStyle w:val="Default"/>
        <w:numPr>
          <w:ilvl w:val="0"/>
          <w:numId w:val="1"/>
        </w:numPr>
        <w:rPr>
          <w:szCs w:val="23"/>
        </w:rPr>
      </w:pPr>
      <w:r>
        <w:rPr>
          <w:szCs w:val="23"/>
        </w:rPr>
        <w:t>Assess and monitor portfolio of students work and ensure completion with agreed deadlines and target date (including electronic or paper based portfolios)</w:t>
      </w:r>
    </w:p>
    <w:p w:rsidR="00BE5A6E" w:rsidRPr="00BE5A6E" w:rsidRDefault="00BE5A6E" w:rsidP="00121ED8">
      <w:pPr>
        <w:pStyle w:val="Default"/>
        <w:rPr>
          <w:szCs w:val="23"/>
        </w:rPr>
      </w:pPr>
    </w:p>
    <w:p w:rsidR="00BE5A6E" w:rsidRDefault="00BE5A6E" w:rsidP="00121ED8">
      <w:pPr>
        <w:pStyle w:val="Default"/>
        <w:numPr>
          <w:ilvl w:val="0"/>
          <w:numId w:val="1"/>
        </w:numPr>
        <w:rPr>
          <w:szCs w:val="23"/>
        </w:rPr>
      </w:pPr>
      <w:r>
        <w:rPr>
          <w:szCs w:val="23"/>
        </w:rPr>
        <w:t>Complete assessment paperwork to the required audit standards</w:t>
      </w:r>
    </w:p>
    <w:p w:rsidR="00BE5A6E" w:rsidRPr="00BE5A6E" w:rsidRDefault="00BE5A6E" w:rsidP="00121ED8">
      <w:pPr>
        <w:pStyle w:val="Default"/>
        <w:rPr>
          <w:szCs w:val="23"/>
        </w:rPr>
      </w:pPr>
    </w:p>
    <w:p w:rsidR="00BE5A6E" w:rsidRDefault="00BE5A6E" w:rsidP="00121ED8">
      <w:pPr>
        <w:pStyle w:val="Default"/>
        <w:numPr>
          <w:ilvl w:val="0"/>
          <w:numId w:val="1"/>
        </w:numPr>
        <w:rPr>
          <w:szCs w:val="23"/>
        </w:rPr>
      </w:pPr>
      <w:r>
        <w:rPr>
          <w:szCs w:val="23"/>
        </w:rPr>
        <w:t>Compile the required programme documentation for students</w:t>
      </w:r>
    </w:p>
    <w:p w:rsidR="00BE5A6E" w:rsidRPr="00BE5A6E" w:rsidRDefault="00BE5A6E" w:rsidP="00121ED8">
      <w:pPr>
        <w:pStyle w:val="Default"/>
        <w:rPr>
          <w:szCs w:val="23"/>
        </w:rPr>
      </w:pPr>
    </w:p>
    <w:p w:rsidR="00BB5801" w:rsidRDefault="00BB5801" w:rsidP="00121ED8">
      <w:pPr>
        <w:pStyle w:val="Default"/>
        <w:numPr>
          <w:ilvl w:val="0"/>
          <w:numId w:val="1"/>
        </w:numPr>
        <w:rPr>
          <w:szCs w:val="23"/>
        </w:rPr>
      </w:pPr>
      <w:r>
        <w:rPr>
          <w:szCs w:val="23"/>
        </w:rPr>
        <w:t>Comply with quality assurance procedures and standards set by the college and awarding and funding organisations</w:t>
      </w:r>
      <w:r w:rsidR="00F36AC3">
        <w:rPr>
          <w:szCs w:val="23"/>
        </w:rPr>
        <w:t xml:space="preserve">. Work closely with and report </w:t>
      </w:r>
      <w:proofErr w:type="spellStart"/>
      <w:r w:rsidR="00F36AC3">
        <w:rPr>
          <w:szCs w:val="23"/>
        </w:rPr>
        <w:t>report</w:t>
      </w:r>
      <w:proofErr w:type="spellEnd"/>
      <w:r w:rsidR="00F36AC3">
        <w:rPr>
          <w:szCs w:val="23"/>
        </w:rPr>
        <w:t xml:space="preserve"> to the Quality Manager.</w:t>
      </w:r>
    </w:p>
    <w:p w:rsidR="003E3FBC" w:rsidRDefault="003E3FBC" w:rsidP="003E3FBC">
      <w:pPr>
        <w:pStyle w:val="ListParagraph"/>
        <w:rPr>
          <w:szCs w:val="23"/>
        </w:rPr>
      </w:pPr>
    </w:p>
    <w:p w:rsidR="003831D8" w:rsidRDefault="003831D8" w:rsidP="003831D8">
      <w:pPr>
        <w:pStyle w:val="ListParagraph"/>
        <w:rPr>
          <w:szCs w:val="23"/>
        </w:rPr>
      </w:pPr>
    </w:p>
    <w:p w:rsidR="003831D8" w:rsidRPr="003831D8" w:rsidRDefault="003831D8" w:rsidP="003831D8">
      <w:pPr>
        <w:pStyle w:val="ListParagraph"/>
        <w:numPr>
          <w:ilvl w:val="0"/>
          <w:numId w:val="1"/>
        </w:numPr>
        <w:rPr>
          <w:rFonts w:ascii="Calibri" w:hAnsi="Calibri" w:cs="Calibri"/>
          <w:color w:val="000000"/>
          <w:sz w:val="24"/>
          <w:szCs w:val="23"/>
        </w:rPr>
      </w:pPr>
      <w:r w:rsidRPr="003831D8">
        <w:rPr>
          <w:rFonts w:ascii="Calibri" w:hAnsi="Calibri" w:cs="Calibri"/>
          <w:color w:val="000000"/>
          <w:sz w:val="24"/>
          <w:szCs w:val="23"/>
        </w:rPr>
        <w:t>Support and deliver training and assessment of students in the workplace and where relevant in the college environment</w:t>
      </w:r>
    </w:p>
    <w:p w:rsidR="00BB5801" w:rsidRPr="00BB5801" w:rsidRDefault="00BB5801" w:rsidP="00121ED8">
      <w:pPr>
        <w:pStyle w:val="Default"/>
        <w:rPr>
          <w:szCs w:val="23"/>
        </w:rPr>
      </w:pPr>
    </w:p>
    <w:p w:rsidR="00BB5801" w:rsidRDefault="00BB5801" w:rsidP="00121ED8">
      <w:pPr>
        <w:pStyle w:val="Default"/>
        <w:numPr>
          <w:ilvl w:val="0"/>
          <w:numId w:val="1"/>
        </w:numPr>
        <w:rPr>
          <w:szCs w:val="23"/>
        </w:rPr>
      </w:pPr>
      <w:r>
        <w:rPr>
          <w:szCs w:val="23"/>
        </w:rPr>
        <w:t>Run workshops (where required) to ensure students cover scope of training required (including Functional Skills, ERR and PTLS)</w:t>
      </w:r>
    </w:p>
    <w:p w:rsidR="00BB5801" w:rsidRPr="00BB5801" w:rsidRDefault="00BB5801" w:rsidP="00121ED8">
      <w:pPr>
        <w:pStyle w:val="Default"/>
        <w:rPr>
          <w:szCs w:val="23"/>
        </w:rPr>
      </w:pPr>
    </w:p>
    <w:p w:rsidR="00780A81" w:rsidRPr="00780A81" w:rsidRDefault="00780A81" w:rsidP="00121ED8">
      <w:pPr>
        <w:pStyle w:val="Default"/>
        <w:rPr>
          <w:szCs w:val="23"/>
        </w:rPr>
      </w:pPr>
    </w:p>
    <w:p w:rsidR="00BB5801" w:rsidRDefault="00BB5801" w:rsidP="00121ED8">
      <w:pPr>
        <w:pStyle w:val="Default"/>
        <w:numPr>
          <w:ilvl w:val="0"/>
          <w:numId w:val="1"/>
        </w:numPr>
        <w:rPr>
          <w:szCs w:val="23"/>
        </w:rPr>
      </w:pPr>
      <w:r>
        <w:rPr>
          <w:szCs w:val="23"/>
        </w:rPr>
        <w:t>Attend and participate in department standardisation meetings</w:t>
      </w:r>
    </w:p>
    <w:p w:rsidR="00BB5801" w:rsidRDefault="00BB5801" w:rsidP="00121ED8">
      <w:pPr>
        <w:pStyle w:val="Default"/>
        <w:ind w:left="720"/>
        <w:rPr>
          <w:szCs w:val="23"/>
        </w:rPr>
      </w:pPr>
    </w:p>
    <w:p w:rsidR="00121ED8" w:rsidRDefault="00BB5801" w:rsidP="00121ED8">
      <w:pPr>
        <w:pStyle w:val="Default"/>
        <w:numPr>
          <w:ilvl w:val="0"/>
          <w:numId w:val="1"/>
        </w:numPr>
        <w:rPr>
          <w:szCs w:val="23"/>
        </w:rPr>
      </w:pPr>
      <w:r>
        <w:rPr>
          <w:szCs w:val="23"/>
        </w:rPr>
        <w:t>Liaise and work with the internal</w:t>
      </w:r>
      <w:r w:rsidR="00031960">
        <w:rPr>
          <w:szCs w:val="23"/>
        </w:rPr>
        <w:t xml:space="preserve"> and external</w:t>
      </w:r>
      <w:r>
        <w:rPr>
          <w:szCs w:val="23"/>
        </w:rPr>
        <w:t xml:space="preserve"> verifier as required</w:t>
      </w:r>
    </w:p>
    <w:p w:rsidR="00AB4FD8" w:rsidRDefault="00AB4FD8" w:rsidP="00121ED8">
      <w:pPr>
        <w:pStyle w:val="ListParagraph"/>
        <w:rPr>
          <w:szCs w:val="23"/>
        </w:rPr>
      </w:pPr>
    </w:p>
    <w:p w:rsidR="00BB5801" w:rsidRDefault="00AB4FD8" w:rsidP="00121ED8">
      <w:pPr>
        <w:pStyle w:val="Default"/>
        <w:numPr>
          <w:ilvl w:val="0"/>
          <w:numId w:val="1"/>
        </w:numPr>
        <w:rPr>
          <w:szCs w:val="23"/>
        </w:rPr>
      </w:pPr>
      <w:r>
        <w:rPr>
          <w:szCs w:val="23"/>
        </w:rPr>
        <w:t xml:space="preserve">Participates fully in the CPD process following appraisal of individual needs and uses knowledge and skills to improve performance of self and team </w:t>
      </w:r>
      <w:r w:rsidRPr="00BB5801">
        <w:rPr>
          <w:szCs w:val="23"/>
        </w:rPr>
        <w:t xml:space="preserve"> </w:t>
      </w:r>
    </w:p>
    <w:p w:rsidR="00B82B82" w:rsidRPr="00BB5801" w:rsidRDefault="00B82B82" w:rsidP="00B82B82">
      <w:pPr>
        <w:pStyle w:val="Default"/>
        <w:ind w:left="720"/>
        <w:rPr>
          <w:szCs w:val="23"/>
        </w:rPr>
      </w:pPr>
    </w:p>
    <w:p w:rsidR="00BB5801" w:rsidRPr="00BB5801" w:rsidRDefault="00BB5801" w:rsidP="00121ED8">
      <w:pPr>
        <w:pStyle w:val="Default"/>
        <w:rPr>
          <w:szCs w:val="23"/>
        </w:rPr>
      </w:pPr>
    </w:p>
    <w:p w:rsidR="00BB5801" w:rsidRDefault="00BB5801" w:rsidP="00121ED8">
      <w:pPr>
        <w:pStyle w:val="Default"/>
        <w:numPr>
          <w:ilvl w:val="0"/>
          <w:numId w:val="1"/>
        </w:numPr>
        <w:rPr>
          <w:szCs w:val="23"/>
        </w:rPr>
      </w:pPr>
      <w:r>
        <w:rPr>
          <w:szCs w:val="23"/>
        </w:rPr>
        <w:t>To set out and effectively and efficiently organise workplace visits and ensure safe use of own transport to candidate sites of work</w:t>
      </w:r>
    </w:p>
    <w:p w:rsidR="00BB5801" w:rsidRPr="00BB5801" w:rsidRDefault="00BB5801" w:rsidP="00121ED8">
      <w:pPr>
        <w:pStyle w:val="Default"/>
        <w:rPr>
          <w:szCs w:val="23"/>
        </w:rPr>
      </w:pPr>
    </w:p>
    <w:p w:rsidR="00BB5801" w:rsidRDefault="00BB5801" w:rsidP="00121ED8">
      <w:pPr>
        <w:pStyle w:val="Default"/>
        <w:numPr>
          <w:ilvl w:val="0"/>
          <w:numId w:val="1"/>
        </w:numPr>
        <w:rPr>
          <w:szCs w:val="23"/>
        </w:rPr>
      </w:pPr>
      <w:r>
        <w:rPr>
          <w:szCs w:val="23"/>
        </w:rPr>
        <w:t>To agree and meet performance targets relating to business development and learner retention and achievement</w:t>
      </w:r>
    </w:p>
    <w:p w:rsidR="00BB5801" w:rsidRPr="00BB5801" w:rsidRDefault="00BB5801" w:rsidP="00121ED8">
      <w:pPr>
        <w:pStyle w:val="Default"/>
        <w:rPr>
          <w:szCs w:val="23"/>
        </w:rPr>
      </w:pPr>
    </w:p>
    <w:p w:rsidR="00B05F4E" w:rsidRDefault="00B05F4E" w:rsidP="00121ED8">
      <w:pPr>
        <w:pStyle w:val="Default"/>
        <w:numPr>
          <w:ilvl w:val="0"/>
          <w:numId w:val="1"/>
        </w:numPr>
        <w:rPr>
          <w:szCs w:val="23"/>
        </w:rPr>
      </w:pPr>
      <w:r>
        <w:rPr>
          <w:szCs w:val="23"/>
        </w:rPr>
        <w:t>Take responsibility to recruit and maintain an agreed case load</w:t>
      </w:r>
    </w:p>
    <w:p w:rsidR="00B05F4E" w:rsidRPr="00B05F4E" w:rsidRDefault="00B05F4E" w:rsidP="00121ED8">
      <w:pPr>
        <w:pStyle w:val="Default"/>
        <w:rPr>
          <w:szCs w:val="23"/>
        </w:rPr>
      </w:pPr>
    </w:p>
    <w:p w:rsidR="00B05F4E" w:rsidRDefault="00B05F4E" w:rsidP="00121ED8">
      <w:pPr>
        <w:pStyle w:val="Default"/>
        <w:numPr>
          <w:ilvl w:val="0"/>
          <w:numId w:val="1"/>
        </w:numPr>
        <w:rPr>
          <w:szCs w:val="23"/>
        </w:rPr>
      </w:pPr>
      <w:r>
        <w:rPr>
          <w:szCs w:val="23"/>
        </w:rPr>
        <w:t>Take responsibility for internal quality assurance for allocated learners</w:t>
      </w:r>
    </w:p>
    <w:p w:rsidR="00B05F4E" w:rsidRPr="00B05F4E" w:rsidRDefault="00B05F4E" w:rsidP="00121ED8">
      <w:pPr>
        <w:pStyle w:val="Default"/>
        <w:rPr>
          <w:szCs w:val="23"/>
        </w:rPr>
      </w:pPr>
    </w:p>
    <w:p w:rsidR="00B05F4E" w:rsidRPr="00B05F4E" w:rsidRDefault="00B05F4E" w:rsidP="00121ED8">
      <w:pPr>
        <w:pStyle w:val="Default"/>
        <w:rPr>
          <w:szCs w:val="23"/>
        </w:rPr>
      </w:pPr>
    </w:p>
    <w:p w:rsidR="00B05F4E" w:rsidRDefault="00B05F4E" w:rsidP="00121ED8">
      <w:pPr>
        <w:pStyle w:val="Default"/>
        <w:rPr>
          <w:szCs w:val="23"/>
        </w:rPr>
      </w:pPr>
    </w:p>
    <w:p w:rsidR="003F0A7A" w:rsidRPr="00433C1B" w:rsidRDefault="003F0A7A" w:rsidP="00121ED8">
      <w:pPr>
        <w:spacing w:after="0" w:line="240" w:lineRule="auto"/>
        <w:ind w:hanging="11"/>
        <w:rPr>
          <w:rFonts w:ascii="Calibri" w:hAnsi="Calibri" w:cs="Calibri"/>
          <w:color w:val="000000"/>
          <w:sz w:val="24"/>
          <w:szCs w:val="23"/>
        </w:rPr>
      </w:pPr>
      <w:r w:rsidRPr="00433C1B">
        <w:rPr>
          <w:rFonts w:ascii="Calibri" w:hAnsi="Calibri" w:cs="Calibri"/>
          <w:color w:val="000000"/>
          <w:sz w:val="24"/>
          <w:szCs w:val="23"/>
        </w:rPr>
        <w:t xml:space="preserve">The </w:t>
      </w:r>
      <w:proofErr w:type="spellStart"/>
      <w:r w:rsidRPr="00433C1B">
        <w:rPr>
          <w:rFonts w:ascii="Calibri" w:hAnsi="Calibri" w:cs="Calibri"/>
          <w:color w:val="000000"/>
          <w:sz w:val="24"/>
          <w:szCs w:val="23"/>
        </w:rPr>
        <w:t>postholder</w:t>
      </w:r>
      <w:proofErr w:type="spellEnd"/>
      <w:r w:rsidRPr="00433C1B">
        <w:rPr>
          <w:rFonts w:ascii="Calibri" w:hAnsi="Calibri" w:cs="Calibri"/>
          <w:color w:val="000000"/>
          <w:sz w:val="24"/>
          <w:szCs w:val="23"/>
        </w:rPr>
        <w:t xml:space="preserve"> is expected to act at all times in manner that encourages equality of opportunity for all Students, Staff and Visitors to the College and also to adhere to their responsibilities as required to ensure a safe and healthy environment in which to work and study.  Further details on both these issues can be found in the College Equal Opportunities Policy and Health and Safety Policy which are widely available including in College libraries and on the College Intranet. </w:t>
      </w:r>
    </w:p>
    <w:p w:rsidR="003F0A7A" w:rsidRPr="00433C1B" w:rsidRDefault="003F0A7A" w:rsidP="00121ED8">
      <w:pPr>
        <w:spacing w:after="0" w:line="240" w:lineRule="auto"/>
        <w:rPr>
          <w:rFonts w:ascii="Calibri" w:hAnsi="Calibri" w:cs="Calibri"/>
          <w:color w:val="000000"/>
          <w:sz w:val="24"/>
          <w:szCs w:val="23"/>
        </w:rPr>
      </w:pPr>
    </w:p>
    <w:p w:rsidR="003F0A7A" w:rsidRPr="00433C1B" w:rsidRDefault="003F0A7A" w:rsidP="00121ED8">
      <w:pPr>
        <w:spacing w:after="0" w:line="240" w:lineRule="auto"/>
        <w:rPr>
          <w:rFonts w:ascii="Calibri" w:hAnsi="Calibri" w:cs="Calibri"/>
          <w:color w:val="000000"/>
          <w:sz w:val="24"/>
          <w:szCs w:val="23"/>
        </w:rPr>
      </w:pPr>
      <w:r w:rsidRPr="00433C1B">
        <w:rPr>
          <w:rFonts w:ascii="Calibri" w:hAnsi="Calibri" w:cs="Calibri"/>
          <w:color w:val="000000"/>
          <w:sz w:val="24"/>
          <w:szCs w:val="23"/>
        </w:rPr>
        <w:t>A Disclosure check with the Disclosure and Barring Service will be a requirement of employment and positions are exempt from the Rehabilitation of Offenders Act 1974.  Please note that a record of a conviction may not automatically prevent a candidate from receiving an unconditional offer of employment.</w:t>
      </w:r>
    </w:p>
    <w:p w:rsidR="00B05F4E" w:rsidRDefault="00B05F4E" w:rsidP="00121ED8">
      <w:pPr>
        <w:pStyle w:val="Default"/>
        <w:rPr>
          <w:szCs w:val="23"/>
        </w:rPr>
      </w:pPr>
    </w:p>
    <w:p w:rsidR="00B05F4E" w:rsidRDefault="00B05F4E" w:rsidP="00121ED8">
      <w:pPr>
        <w:pStyle w:val="Default"/>
        <w:rPr>
          <w:szCs w:val="23"/>
        </w:rPr>
      </w:pPr>
    </w:p>
    <w:p w:rsidR="00B05F4E" w:rsidRDefault="00B05F4E" w:rsidP="00121ED8">
      <w:pPr>
        <w:pStyle w:val="Default"/>
        <w:rPr>
          <w:szCs w:val="23"/>
        </w:rPr>
      </w:pPr>
    </w:p>
    <w:p w:rsidR="00B05F4E" w:rsidRPr="00B05F4E" w:rsidRDefault="00B05F4E" w:rsidP="00121ED8">
      <w:pPr>
        <w:spacing w:after="0" w:line="240" w:lineRule="auto"/>
        <w:rPr>
          <w:rFonts w:eastAsiaTheme="minorEastAsia" w:cs="Calibri"/>
          <w:b/>
          <w:bCs/>
          <w:color w:val="000000" w:themeColor="text1"/>
          <w:sz w:val="24"/>
          <w:szCs w:val="24"/>
        </w:rPr>
      </w:pPr>
      <w:r w:rsidRPr="00B05F4E">
        <w:rPr>
          <w:rFonts w:eastAsiaTheme="minorEastAsia" w:cs="Calibri"/>
          <w:b/>
          <w:bCs/>
          <w:color w:val="000000" w:themeColor="text1"/>
          <w:sz w:val="24"/>
          <w:szCs w:val="24"/>
        </w:rPr>
        <w:t>PERSON SPECIFICATION</w:t>
      </w:r>
    </w:p>
    <w:p w:rsidR="00B05F4E" w:rsidRPr="00B05F4E" w:rsidRDefault="00B05F4E" w:rsidP="00B05F4E">
      <w:pPr>
        <w:spacing w:after="0" w:line="240" w:lineRule="auto"/>
        <w:rPr>
          <w:rFonts w:eastAsiaTheme="minorEastAsia" w:cs="Calibri"/>
          <w:color w:val="000000" w:themeColor="text1"/>
          <w:sz w:val="24"/>
          <w:szCs w:val="24"/>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3686"/>
        <w:gridCol w:w="3543"/>
      </w:tblGrid>
      <w:tr w:rsidR="00B05F4E" w:rsidRPr="00B05F4E" w:rsidTr="00617B1C">
        <w:tc>
          <w:tcPr>
            <w:tcW w:w="2518" w:type="dxa"/>
            <w:tcBorders>
              <w:top w:val="single" w:sz="12" w:space="0" w:color="auto"/>
            </w:tcBorders>
          </w:tcPr>
          <w:p w:rsidR="00B05F4E" w:rsidRPr="00B05F4E" w:rsidRDefault="00B05F4E" w:rsidP="00B05F4E">
            <w:pPr>
              <w:spacing w:after="0" w:line="240" w:lineRule="auto"/>
              <w:rPr>
                <w:rFonts w:eastAsiaTheme="minorEastAsia" w:cs="Calibri"/>
                <w:color w:val="000000" w:themeColor="text1"/>
                <w:sz w:val="24"/>
                <w:szCs w:val="24"/>
              </w:rPr>
            </w:pPr>
          </w:p>
        </w:tc>
        <w:tc>
          <w:tcPr>
            <w:tcW w:w="3686" w:type="dxa"/>
            <w:tcBorders>
              <w:top w:val="single" w:sz="12" w:space="0" w:color="auto"/>
            </w:tcBorders>
          </w:tcPr>
          <w:p w:rsidR="00B05F4E" w:rsidRPr="00B05F4E" w:rsidRDefault="00B05F4E" w:rsidP="00B05F4E">
            <w:pPr>
              <w:keepNext/>
              <w:spacing w:after="0" w:line="240" w:lineRule="auto"/>
              <w:outlineLvl w:val="4"/>
              <w:rPr>
                <w:rFonts w:eastAsiaTheme="minorEastAsia" w:cs="Calibri"/>
                <w:b/>
                <w:bCs/>
                <w:color w:val="000000" w:themeColor="text1"/>
                <w:sz w:val="24"/>
                <w:szCs w:val="24"/>
              </w:rPr>
            </w:pPr>
            <w:r w:rsidRPr="00B05F4E">
              <w:rPr>
                <w:rFonts w:eastAsiaTheme="minorEastAsia" w:cs="Calibri"/>
                <w:b/>
                <w:bCs/>
                <w:color w:val="000000" w:themeColor="text1"/>
                <w:sz w:val="24"/>
                <w:szCs w:val="24"/>
              </w:rPr>
              <w:t xml:space="preserve">ESSENTIAL </w:t>
            </w:r>
          </w:p>
        </w:tc>
        <w:tc>
          <w:tcPr>
            <w:tcW w:w="3543" w:type="dxa"/>
            <w:tcBorders>
              <w:top w:val="single" w:sz="12" w:space="0" w:color="auto"/>
            </w:tcBorders>
          </w:tcPr>
          <w:p w:rsidR="00B05F4E" w:rsidRPr="00B05F4E" w:rsidRDefault="00B05F4E" w:rsidP="00B05F4E">
            <w:pPr>
              <w:keepNext/>
              <w:spacing w:after="0" w:line="240" w:lineRule="auto"/>
              <w:outlineLvl w:val="4"/>
              <w:rPr>
                <w:rFonts w:eastAsiaTheme="minorEastAsia" w:cs="Calibri"/>
                <w:b/>
                <w:bCs/>
                <w:color w:val="000000" w:themeColor="text1"/>
                <w:sz w:val="24"/>
                <w:szCs w:val="24"/>
              </w:rPr>
            </w:pPr>
            <w:r w:rsidRPr="00B05F4E">
              <w:rPr>
                <w:rFonts w:eastAsiaTheme="minorEastAsia" w:cs="Calibri"/>
                <w:b/>
                <w:bCs/>
                <w:color w:val="000000" w:themeColor="text1"/>
                <w:sz w:val="24"/>
                <w:szCs w:val="24"/>
              </w:rPr>
              <w:t>DESIRABLE</w:t>
            </w:r>
          </w:p>
        </w:tc>
      </w:tr>
      <w:tr w:rsidR="00B05F4E" w:rsidRPr="00B05F4E" w:rsidTr="00617B1C">
        <w:tc>
          <w:tcPr>
            <w:tcW w:w="2518" w:type="dxa"/>
          </w:tcPr>
          <w:p w:rsidR="00B05F4E" w:rsidRPr="00B05F4E" w:rsidRDefault="00B05F4E" w:rsidP="00B05F4E">
            <w:pPr>
              <w:spacing w:after="0" w:line="240" w:lineRule="auto"/>
              <w:rPr>
                <w:rFonts w:eastAsiaTheme="minorEastAsia" w:cs="Calibri"/>
                <w:b/>
                <w:bCs/>
                <w:color w:val="000000" w:themeColor="text1"/>
                <w:sz w:val="24"/>
                <w:szCs w:val="24"/>
              </w:rPr>
            </w:pPr>
            <w:r w:rsidRPr="00B05F4E">
              <w:rPr>
                <w:rFonts w:eastAsiaTheme="minorEastAsia" w:cs="Calibri"/>
                <w:b/>
                <w:bCs/>
                <w:color w:val="000000" w:themeColor="text1"/>
                <w:sz w:val="24"/>
                <w:szCs w:val="24"/>
              </w:rPr>
              <w:t xml:space="preserve">QUALIFICATIONS </w:t>
            </w:r>
          </w:p>
        </w:tc>
        <w:tc>
          <w:tcPr>
            <w:tcW w:w="3686" w:type="dxa"/>
          </w:tcPr>
          <w:p w:rsidR="00B05F4E" w:rsidRDefault="00B05F4E" w:rsidP="00BD5993">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Hold assessor award or equivalent for a minimum of 2 years. </w:t>
            </w:r>
          </w:p>
          <w:p w:rsidR="00BD5993" w:rsidRDefault="00BD5993" w:rsidP="00BD5993">
            <w:pPr>
              <w:spacing w:after="0" w:line="240" w:lineRule="auto"/>
              <w:rPr>
                <w:rFonts w:eastAsiaTheme="minorEastAsia" w:cs="Calibri"/>
                <w:color w:val="000000" w:themeColor="text1"/>
                <w:sz w:val="24"/>
                <w:szCs w:val="24"/>
              </w:rPr>
            </w:pPr>
          </w:p>
          <w:p w:rsidR="00B05F4E" w:rsidRDefault="00B05F4E" w:rsidP="00BD5993">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Hold the minimum of Level 3 subject specialist </w:t>
            </w:r>
            <w:r w:rsidR="00BD5993">
              <w:rPr>
                <w:rFonts w:eastAsiaTheme="minorEastAsia" w:cs="Calibri"/>
                <w:color w:val="000000" w:themeColor="text1"/>
                <w:sz w:val="24"/>
                <w:szCs w:val="24"/>
              </w:rPr>
              <w:t>qualification</w:t>
            </w:r>
          </w:p>
          <w:p w:rsidR="00BD5993" w:rsidRDefault="00BD5993" w:rsidP="00BD5993">
            <w:pPr>
              <w:spacing w:after="0" w:line="240" w:lineRule="auto"/>
              <w:rPr>
                <w:rFonts w:eastAsiaTheme="minorEastAsia" w:cs="Calibri"/>
                <w:color w:val="000000" w:themeColor="text1"/>
                <w:sz w:val="24"/>
                <w:szCs w:val="24"/>
              </w:rPr>
            </w:pPr>
          </w:p>
          <w:p w:rsidR="00B05F4E" w:rsidRPr="00B05F4E" w:rsidRDefault="00BD5993" w:rsidP="00BD5993">
            <w:pPr>
              <w:spacing w:after="0" w:line="240" w:lineRule="auto"/>
              <w:rPr>
                <w:rFonts w:ascii="Calibri" w:eastAsiaTheme="minorEastAsia" w:hAnsi="Calibri" w:cs="Calibri"/>
                <w:color w:val="000000"/>
                <w:sz w:val="24"/>
                <w:szCs w:val="24"/>
              </w:rPr>
            </w:pPr>
            <w:r>
              <w:rPr>
                <w:rFonts w:eastAsiaTheme="minorEastAsia" w:cs="Calibri"/>
                <w:color w:val="000000" w:themeColor="text1"/>
                <w:sz w:val="24"/>
                <w:szCs w:val="24"/>
              </w:rPr>
              <w:t xml:space="preserve">Hold relevant D34, V1 or IAQA qualification </w:t>
            </w:r>
          </w:p>
        </w:tc>
        <w:tc>
          <w:tcPr>
            <w:tcW w:w="3543" w:type="dxa"/>
          </w:tcPr>
          <w:p w:rsidR="00B05F4E" w:rsidRP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Leadership qualification.</w:t>
            </w:r>
          </w:p>
          <w:p w:rsidR="00B05F4E" w:rsidRPr="00B05F4E" w:rsidRDefault="00B05F4E" w:rsidP="00B05F4E">
            <w:pPr>
              <w:spacing w:after="0" w:line="240" w:lineRule="auto"/>
              <w:rPr>
                <w:rFonts w:eastAsiaTheme="minorEastAsia" w:cs="Calibri"/>
                <w:color w:val="000000" w:themeColor="text1"/>
                <w:sz w:val="24"/>
                <w:szCs w:val="24"/>
              </w:rPr>
            </w:pPr>
          </w:p>
          <w:p w:rsidR="00B05F4E" w:rsidRPr="00B05F4E" w:rsidRDefault="00B05F4E" w:rsidP="00B05F4E">
            <w:pPr>
              <w:spacing w:after="0" w:line="240" w:lineRule="auto"/>
              <w:rPr>
                <w:rFonts w:eastAsiaTheme="minorEastAsia" w:cs="Calibri"/>
                <w:color w:val="000000" w:themeColor="text1"/>
                <w:sz w:val="24"/>
                <w:szCs w:val="24"/>
              </w:rPr>
            </w:pPr>
          </w:p>
          <w:p w:rsidR="00B05F4E" w:rsidRPr="00B05F4E" w:rsidRDefault="00B05F4E" w:rsidP="00B05F4E">
            <w:pPr>
              <w:spacing w:after="0" w:line="240" w:lineRule="auto"/>
              <w:rPr>
                <w:rFonts w:eastAsiaTheme="minorEastAsia" w:cs="Calibri"/>
                <w:color w:val="000000" w:themeColor="text1"/>
                <w:sz w:val="24"/>
                <w:szCs w:val="24"/>
              </w:rPr>
            </w:pPr>
          </w:p>
          <w:p w:rsidR="00B05F4E" w:rsidRPr="00B05F4E" w:rsidRDefault="00B05F4E" w:rsidP="00B05F4E">
            <w:pPr>
              <w:spacing w:after="0" w:line="240" w:lineRule="auto"/>
              <w:rPr>
                <w:rFonts w:eastAsiaTheme="minorEastAsia" w:cs="Calibri"/>
                <w:color w:val="000000" w:themeColor="text1"/>
                <w:sz w:val="24"/>
                <w:szCs w:val="24"/>
              </w:rPr>
            </w:pPr>
          </w:p>
        </w:tc>
      </w:tr>
      <w:tr w:rsidR="00B05F4E" w:rsidRPr="00B05F4E" w:rsidTr="00617B1C">
        <w:tc>
          <w:tcPr>
            <w:tcW w:w="2518" w:type="dxa"/>
          </w:tcPr>
          <w:p w:rsidR="00B05F4E" w:rsidRPr="00B05F4E" w:rsidRDefault="00B05F4E" w:rsidP="00B05F4E">
            <w:pPr>
              <w:keepNext/>
              <w:spacing w:after="0" w:line="240" w:lineRule="auto"/>
              <w:outlineLvl w:val="4"/>
              <w:rPr>
                <w:rFonts w:eastAsiaTheme="minorEastAsia" w:cs="Calibri"/>
                <w:b/>
                <w:bCs/>
                <w:color w:val="000000" w:themeColor="text1"/>
                <w:sz w:val="24"/>
                <w:szCs w:val="24"/>
              </w:rPr>
            </w:pPr>
            <w:r w:rsidRPr="00B05F4E">
              <w:rPr>
                <w:rFonts w:eastAsiaTheme="minorEastAsia" w:cs="Calibri"/>
                <w:b/>
                <w:color w:val="000000" w:themeColor="text1"/>
                <w:sz w:val="24"/>
                <w:szCs w:val="24"/>
              </w:rPr>
              <w:lastRenderedPageBreak/>
              <w:t>EXPERIENCE</w:t>
            </w:r>
          </w:p>
        </w:tc>
        <w:tc>
          <w:tcPr>
            <w:tcW w:w="3686" w:type="dxa"/>
          </w:tcPr>
          <w:p w:rsidR="0013593D" w:rsidRDefault="00BD5993" w:rsidP="00BD5993">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3 years’ relevant industry experience and evidence of CPD in the subject specialism where required. </w:t>
            </w:r>
          </w:p>
          <w:p w:rsidR="0013593D" w:rsidRDefault="0013593D" w:rsidP="00BD5993">
            <w:pPr>
              <w:spacing w:after="0" w:line="240" w:lineRule="auto"/>
              <w:rPr>
                <w:rFonts w:eastAsiaTheme="minorEastAsia" w:cs="Calibri"/>
                <w:color w:val="000000" w:themeColor="text1"/>
                <w:sz w:val="24"/>
                <w:szCs w:val="24"/>
              </w:rPr>
            </w:pPr>
          </w:p>
          <w:p w:rsidR="00B05F4E" w:rsidRPr="00B05F4E" w:rsidRDefault="00BD5993" w:rsidP="00BD5993">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Has experience of working with learners/</w:t>
            </w:r>
            <w:r w:rsidR="0013593D">
              <w:rPr>
                <w:rFonts w:eastAsiaTheme="minorEastAsia" w:cs="Calibri"/>
                <w:color w:val="000000" w:themeColor="text1"/>
                <w:sz w:val="24"/>
                <w:szCs w:val="24"/>
              </w:rPr>
              <w:t>learning environment</w:t>
            </w:r>
          </w:p>
        </w:tc>
        <w:tc>
          <w:tcPr>
            <w:tcW w:w="3543" w:type="dxa"/>
          </w:tcPr>
          <w:p w:rsid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Leadership of a Workplace Learning sector team.</w:t>
            </w:r>
          </w:p>
          <w:p w:rsidR="0013593D" w:rsidRPr="00B05F4E" w:rsidRDefault="0013593D" w:rsidP="00B05F4E">
            <w:pPr>
              <w:spacing w:after="0" w:line="240" w:lineRule="auto"/>
              <w:rPr>
                <w:rFonts w:eastAsiaTheme="minorEastAsia" w:cs="Calibri"/>
                <w:color w:val="000000" w:themeColor="text1"/>
                <w:sz w:val="24"/>
                <w:szCs w:val="24"/>
              </w:rPr>
            </w:pPr>
          </w:p>
          <w:p w:rsid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Experience of delivering high quality workplace learning.</w:t>
            </w:r>
          </w:p>
          <w:p w:rsidR="0013593D" w:rsidRPr="00B05F4E" w:rsidRDefault="0013593D" w:rsidP="00B05F4E">
            <w:pPr>
              <w:spacing w:after="0" w:line="240" w:lineRule="auto"/>
              <w:rPr>
                <w:rFonts w:eastAsiaTheme="minorEastAsia" w:cs="Calibri"/>
                <w:color w:val="000000" w:themeColor="text1"/>
                <w:sz w:val="24"/>
                <w:szCs w:val="24"/>
              </w:rPr>
            </w:pPr>
          </w:p>
          <w:p w:rsidR="00B05F4E" w:rsidRP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Experience of E-Assessment.</w:t>
            </w:r>
          </w:p>
          <w:p w:rsidR="00B05F4E" w:rsidRP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Delivery of E-Learning.</w:t>
            </w:r>
          </w:p>
        </w:tc>
      </w:tr>
      <w:tr w:rsidR="00B05F4E" w:rsidRPr="00B05F4E" w:rsidTr="00617B1C">
        <w:tc>
          <w:tcPr>
            <w:tcW w:w="2518" w:type="dxa"/>
            <w:tcBorders>
              <w:bottom w:val="single" w:sz="12" w:space="0" w:color="auto"/>
            </w:tcBorders>
          </w:tcPr>
          <w:p w:rsidR="00B05F4E" w:rsidRPr="00B05F4E" w:rsidRDefault="00B05F4E" w:rsidP="00B05F4E">
            <w:pPr>
              <w:spacing w:after="0" w:line="240" w:lineRule="auto"/>
              <w:rPr>
                <w:rFonts w:eastAsiaTheme="minorEastAsia" w:cs="Calibri"/>
                <w:b/>
                <w:bCs/>
                <w:color w:val="000000" w:themeColor="text1"/>
                <w:sz w:val="24"/>
                <w:szCs w:val="24"/>
              </w:rPr>
            </w:pPr>
            <w:r w:rsidRPr="00B05F4E">
              <w:rPr>
                <w:rFonts w:eastAsiaTheme="minorEastAsia" w:cs="Calibri"/>
                <w:b/>
                <w:bCs/>
                <w:color w:val="000000" w:themeColor="text1"/>
                <w:sz w:val="24"/>
                <w:szCs w:val="24"/>
              </w:rPr>
              <w:t>ABILITIES, SKILLS AND COMPETENCIES</w:t>
            </w:r>
          </w:p>
          <w:p w:rsidR="00B05F4E" w:rsidRPr="00B05F4E" w:rsidRDefault="00B05F4E" w:rsidP="00B05F4E">
            <w:pPr>
              <w:spacing w:after="0" w:line="240" w:lineRule="auto"/>
              <w:rPr>
                <w:rFonts w:eastAsiaTheme="minorEastAsia" w:cs="Calibri"/>
                <w:b/>
                <w:bCs/>
                <w:color w:val="000000" w:themeColor="text1"/>
                <w:sz w:val="24"/>
                <w:szCs w:val="24"/>
              </w:rPr>
            </w:pPr>
          </w:p>
        </w:tc>
        <w:tc>
          <w:tcPr>
            <w:tcW w:w="3686" w:type="dxa"/>
            <w:tcBorders>
              <w:bottom w:val="single" w:sz="12" w:space="0" w:color="auto"/>
            </w:tcBorders>
          </w:tcPr>
          <w:p w:rsidR="0013593D" w:rsidRDefault="00BD5993" w:rsidP="00B05F4E">
            <w:pPr>
              <w:spacing w:after="0" w:line="240" w:lineRule="auto"/>
              <w:rPr>
                <w:rFonts w:eastAsiaTheme="minorEastAsia" w:cs="Calibri"/>
                <w:color w:val="000000" w:themeColor="text1"/>
                <w:sz w:val="24"/>
                <w:szCs w:val="24"/>
              </w:rPr>
            </w:pPr>
            <w:proofErr w:type="gramStart"/>
            <w:r>
              <w:rPr>
                <w:rFonts w:eastAsiaTheme="minorEastAsia" w:cs="Calibri"/>
                <w:color w:val="000000" w:themeColor="text1"/>
                <w:sz w:val="24"/>
                <w:szCs w:val="24"/>
              </w:rPr>
              <w:t>Has good written and oral communication skills</w:t>
            </w:r>
            <w:proofErr w:type="gramEnd"/>
            <w:r>
              <w:rPr>
                <w:rFonts w:eastAsiaTheme="minorEastAsia" w:cs="Calibri"/>
                <w:color w:val="000000" w:themeColor="text1"/>
                <w:sz w:val="24"/>
                <w:szCs w:val="24"/>
              </w:rPr>
              <w:t xml:space="preserve"> at all levels.</w:t>
            </w:r>
          </w:p>
          <w:p w:rsidR="0013593D" w:rsidRDefault="0013593D" w:rsidP="00B05F4E">
            <w:pPr>
              <w:spacing w:after="0" w:line="240" w:lineRule="auto"/>
              <w:rPr>
                <w:rFonts w:eastAsiaTheme="minorEastAsia" w:cs="Calibri"/>
                <w:color w:val="000000" w:themeColor="text1"/>
                <w:sz w:val="24"/>
                <w:szCs w:val="24"/>
              </w:rPr>
            </w:pPr>
          </w:p>
          <w:p w:rsidR="0013593D" w:rsidRDefault="00BD5993"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Is able to coach/train and develop students. </w:t>
            </w:r>
          </w:p>
          <w:p w:rsidR="0013593D" w:rsidRDefault="0013593D" w:rsidP="00B05F4E">
            <w:pPr>
              <w:spacing w:after="0" w:line="240" w:lineRule="auto"/>
              <w:rPr>
                <w:rFonts w:eastAsiaTheme="minorEastAsia" w:cs="Calibri"/>
                <w:color w:val="000000" w:themeColor="text1"/>
                <w:sz w:val="24"/>
                <w:szCs w:val="24"/>
              </w:rPr>
            </w:pPr>
          </w:p>
          <w:p w:rsidR="0013593D" w:rsidRDefault="00BD5993"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Can demonstrate effective administrative and organisational skills. </w:t>
            </w:r>
          </w:p>
          <w:p w:rsidR="0013593D" w:rsidRDefault="0013593D" w:rsidP="00B05F4E">
            <w:pPr>
              <w:spacing w:after="0" w:line="240" w:lineRule="auto"/>
              <w:rPr>
                <w:rFonts w:eastAsiaTheme="minorEastAsia" w:cs="Calibri"/>
                <w:color w:val="000000" w:themeColor="text1"/>
                <w:sz w:val="24"/>
                <w:szCs w:val="24"/>
              </w:rPr>
            </w:pPr>
          </w:p>
          <w:p w:rsidR="0013593D" w:rsidRDefault="0013593D"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Team player and also able to work on own initiative. </w:t>
            </w:r>
          </w:p>
          <w:p w:rsidR="0013593D" w:rsidRDefault="0013593D" w:rsidP="00B05F4E">
            <w:pPr>
              <w:spacing w:after="0" w:line="240" w:lineRule="auto"/>
              <w:rPr>
                <w:rFonts w:eastAsiaTheme="minorEastAsia" w:cs="Calibri"/>
                <w:color w:val="000000" w:themeColor="text1"/>
                <w:sz w:val="24"/>
                <w:szCs w:val="24"/>
              </w:rPr>
            </w:pPr>
          </w:p>
          <w:p w:rsidR="0013593D" w:rsidRDefault="0013593D"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Ability to work unsupervised and manage own workload</w:t>
            </w:r>
          </w:p>
          <w:p w:rsidR="0013593D" w:rsidRDefault="0013593D" w:rsidP="00B05F4E">
            <w:pPr>
              <w:spacing w:after="0" w:line="240" w:lineRule="auto"/>
              <w:rPr>
                <w:rFonts w:eastAsiaTheme="minorEastAsia" w:cs="Calibri"/>
                <w:color w:val="000000" w:themeColor="text1"/>
                <w:sz w:val="24"/>
                <w:szCs w:val="24"/>
              </w:rPr>
            </w:pPr>
          </w:p>
          <w:p w:rsidR="0013593D" w:rsidRDefault="00BD5993"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I</w:t>
            </w:r>
            <w:r w:rsidR="0013593D">
              <w:rPr>
                <w:rFonts w:eastAsiaTheme="minorEastAsia" w:cs="Calibri"/>
                <w:color w:val="000000" w:themeColor="text1"/>
                <w:sz w:val="24"/>
                <w:szCs w:val="24"/>
              </w:rPr>
              <w:t>s</w:t>
            </w:r>
            <w:r>
              <w:rPr>
                <w:rFonts w:eastAsiaTheme="minorEastAsia" w:cs="Calibri"/>
                <w:color w:val="000000" w:themeColor="text1"/>
                <w:sz w:val="24"/>
                <w:szCs w:val="24"/>
              </w:rPr>
              <w:t xml:space="preserve"> accurate and timely in record keeping. </w:t>
            </w:r>
          </w:p>
          <w:p w:rsidR="0013593D" w:rsidRDefault="0013593D" w:rsidP="00B05F4E">
            <w:pPr>
              <w:spacing w:after="0" w:line="240" w:lineRule="auto"/>
              <w:rPr>
                <w:rFonts w:eastAsiaTheme="minorEastAsia" w:cs="Calibri"/>
                <w:color w:val="000000" w:themeColor="text1"/>
                <w:sz w:val="24"/>
                <w:szCs w:val="24"/>
              </w:rPr>
            </w:pPr>
          </w:p>
          <w:p w:rsidR="0013593D" w:rsidRDefault="0013593D"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Ability to communicate at all levels.</w:t>
            </w:r>
          </w:p>
          <w:p w:rsidR="0013593D" w:rsidRDefault="0013593D" w:rsidP="00B05F4E">
            <w:pPr>
              <w:spacing w:after="0" w:line="240" w:lineRule="auto"/>
              <w:rPr>
                <w:rFonts w:eastAsiaTheme="minorEastAsia" w:cs="Calibri"/>
                <w:color w:val="000000" w:themeColor="text1"/>
                <w:sz w:val="24"/>
                <w:szCs w:val="24"/>
              </w:rPr>
            </w:pPr>
          </w:p>
          <w:p w:rsidR="0013593D" w:rsidRDefault="00BD5993"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 xml:space="preserve">Is familiar with a range of IT systems and able to promote effective use of them to students. </w:t>
            </w:r>
          </w:p>
          <w:p w:rsidR="0013593D" w:rsidRDefault="0013593D" w:rsidP="00B05F4E">
            <w:pPr>
              <w:spacing w:after="0" w:line="240" w:lineRule="auto"/>
              <w:rPr>
                <w:rFonts w:eastAsiaTheme="minorEastAsia" w:cs="Calibri"/>
                <w:color w:val="000000" w:themeColor="text1"/>
                <w:sz w:val="24"/>
                <w:szCs w:val="24"/>
              </w:rPr>
            </w:pPr>
          </w:p>
          <w:p w:rsidR="0013593D" w:rsidRDefault="0013593D" w:rsidP="00B05F4E">
            <w:pPr>
              <w:spacing w:after="0" w:line="240" w:lineRule="auto"/>
              <w:rPr>
                <w:rFonts w:eastAsiaTheme="minorEastAsia" w:cs="Calibri"/>
                <w:color w:val="000000" w:themeColor="text1"/>
                <w:sz w:val="24"/>
                <w:szCs w:val="24"/>
              </w:rPr>
            </w:pPr>
            <w:proofErr w:type="gramStart"/>
            <w:r>
              <w:rPr>
                <w:rFonts w:eastAsiaTheme="minorEastAsia" w:cs="Calibri"/>
                <w:color w:val="000000" w:themeColor="text1"/>
                <w:sz w:val="24"/>
                <w:szCs w:val="24"/>
              </w:rPr>
              <w:t>Has good interpersonal skills</w:t>
            </w:r>
            <w:proofErr w:type="gramEnd"/>
            <w:r>
              <w:rPr>
                <w:rFonts w:eastAsiaTheme="minorEastAsia" w:cs="Calibri"/>
                <w:color w:val="000000" w:themeColor="text1"/>
                <w:sz w:val="24"/>
                <w:szCs w:val="24"/>
              </w:rPr>
              <w:t>.</w:t>
            </w:r>
          </w:p>
          <w:p w:rsidR="0013593D" w:rsidRDefault="0013593D" w:rsidP="00B05F4E">
            <w:pPr>
              <w:spacing w:after="0" w:line="240" w:lineRule="auto"/>
              <w:rPr>
                <w:rFonts w:eastAsiaTheme="minorEastAsia" w:cs="Calibri"/>
                <w:color w:val="000000" w:themeColor="text1"/>
                <w:sz w:val="24"/>
                <w:szCs w:val="24"/>
              </w:rPr>
            </w:pPr>
          </w:p>
          <w:p w:rsidR="00B05F4E" w:rsidRPr="00B05F4E" w:rsidRDefault="0013593D"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Has full UK driving licence.</w:t>
            </w:r>
          </w:p>
        </w:tc>
        <w:tc>
          <w:tcPr>
            <w:tcW w:w="3543" w:type="dxa"/>
            <w:tcBorders>
              <w:bottom w:val="single" w:sz="12" w:space="0" w:color="auto"/>
            </w:tcBorders>
          </w:tcPr>
          <w:p w:rsid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The ability to identify opportunities for growth.</w:t>
            </w:r>
          </w:p>
          <w:p w:rsidR="0013593D" w:rsidRPr="00B05F4E" w:rsidRDefault="0013593D" w:rsidP="00B05F4E">
            <w:pPr>
              <w:spacing w:after="0" w:line="240" w:lineRule="auto"/>
              <w:rPr>
                <w:rFonts w:eastAsiaTheme="minorEastAsia" w:cs="Calibri"/>
                <w:color w:val="000000" w:themeColor="text1"/>
                <w:sz w:val="24"/>
                <w:szCs w:val="24"/>
              </w:rPr>
            </w:pPr>
          </w:p>
          <w:p w:rsid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To grow enrolment within Workplace Learning.</w:t>
            </w:r>
          </w:p>
          <w:p w:rsidR="0013593D" w:rsidRPr="00B05F4E" w:rsidRDefault="0013593D" w:rsidP="00B05F4E">
            <w:pPr>
              <w:spacing w:after="0" w:line="240" w:lineRule="auto"/>
              <w:rPr>
                <w:rFonts w:eastAsiaTheme="minorEastAsia" w:cs="Calibri"/>
                <w:color w:val="000000" w:themeColor="text1"/>
                <w:sz w:val="24"/>
                <w:szCs w:val="24"/>
              </w:rPr>
            </w:pPr>
          </w:p>
          <w:p w:rsidR="00B05F4E" w:rsidRP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Knowledge of Skills Funding Agency contracts and funding.</w:t>
            </w:r>
          </w:p>
          <w:p w:rsidR="00B05F4E" w:rsidRPr="00B05F4E" w:rsidRDefault="00B05F4E" w:rsidP="00B05F4E">
            <w:pPr>
              <w:spacing w:after="0" w:line="240" w:lineRule="auto"/>
              <w:rPr>
                <w:rFonts w:eastAsiaTheme="minorEastAsia" w:cs="Calibri"/>
                <w:color w:val="000000" w:themeColor="text1"/>
                <w:sz w:val="24"/>
                <w:szCs w:val="24"/>
              </w:rPr>
            </w:pPr>
          </w:p>
          <w:p w:rsidR="00B05F4E" w:rsidRDefault="00B05F4E" w:rsidP="00B05F4E">
            <w:pPr>
              <w:spacing w:after="0" w:line="240" w:lineRule="auto"/>
              <w:rPr>
                <w:rFonts w:eastAsiaTheme="minorEastAsia" w:cs="Calibri"/>
                <w:color w:val="000000" w:themeColor="text1"/>
                <w:sz w:val="24"/>
                <w:szCs w:val="24"/>
              </w:rPr>
            </w:pPr>
            <w:r w:rsidRPr="00B05F4E">
              <w:rPr>
                <w:rFonts w:eastAsiaTheme="minorEastAsia" w:cs="Calibri"/>
                <w:color w:val="000000" w:themeColor="text1"/>
                <w:sz w:val="24"/>
                <w:szCs w:val="24"/>
              </w:rPr>
              <w:t>Knowledge of the Ofsted Common Inspection Framework 2012 and its impact on Workplace Learning.</w:t>
            </w:r>
          </w:p>
          <w:p w:rsidR="0013593D" w:rsidRDefault="0013593D" w:rsidP="00B05F4E">
            <w:pPr>
              <w:spacing w:after="0" w:line="240" w:lineRule="auto"/>
              <w:rPr>
                <w:rFonts w:eastAsiaTheme="minorEastAsia" w:cs="Calibri"/>
                <w:color w:val="000000" w:themeColor="text1"/>
                <w:sz w:val="24"/>
                <w:szCs w:val="24"/>
              </w:rPr>
            </w:pPr>
          </w:p>
          <w:p w:rsidR="0013593D" w:rsidRPr="00B05F4E" w:rsidRDefault="0013593D" w:rsidP="00B05F4E">
            <w:pPr>
              <w:spacing w:after="0" w:line="240" w:lineRule="auto"/>
              <w:rPr>
                <w:rFonts w:eastAsiaTheme="minorEastAsia" w:cs="Calibri"/>
                <w:color w:val="000000" w:themeColor="text1"/>
                <w:sz w:val="24"/>
                <w:szCs w:val="24"/>
              </w:rPr>
            </w:pPr>
            <w:r>
              <w:rPr>
                <w:rFonts w:eastAsiaTheme="minorEastAsia" w:cs="Calibri"/>
                <w:color w:val="000000" w:themeColor="text1"/>
                <w:sz w:val="24"/>
                <w:szCs w:val="24"/>
              </w:rPr>
              <w:t>Enthusiasm for role and commitment to principles of learning</w:t>
            </w:r>
          </w:p>
          <w:p w:rsidR="00B05F4E" w:rsidRPr="00B05F4E" w:rsidRDefault="00B05F4E" w:rsidP="00B05F4E">
            <w:pPr>
              <w:spacing w:after="0" w:line="240" w:lineRule="auto"/>
              <w:rPr>
                <w:rFonts w:eastAsiaTheme="minorEastAsia" w:cs="Calibri"/>
                <w:color w:val="000000" w:themeColor="text1"/>
                <w:sz w:val="24"/>
                <w:szCs w:val="24"/>
              </w:rPr>
            </w:pPr>
          </w:p>
        </w:tc>
      </w:tr>
    </w:tbl>
    <w:p w:rsidR="00DE423F" w:rsidRPr="00F16B2E" w:rsidRDefault="00DE423F" w:rsidP="00DE423F">
      <w:pPr>
        <w:spacing w:after="0" w:line="240" w:lineRule="auto"/>
        <w:rPr>
          <w:rFonts w:ascii="Arial" w:hAnsi="Arial" w:cs="Arial"/>
          <w:sz w:val="20"/>
          <w:szCs w:val="20"/>
        </w:rPr>
      </w:pPr>
    </w:p>
    <w:sectPr w:rsidR="00DE423F" w:rsidRPr="00F16B2E" w:rsidSect="0013593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962"/>
    <w:multiLevelType w:val="hybridMultilevel"/>
    <w:tmpl w:val="47D63A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65794E"/>
    <w:multiLevelType w:val="hybridMultilevel"/>
    <w:tmpl w:val="CEBA52BC"/>
    <w:lvl w:ilvl="0" w:tplc="4BA0C21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3F"/>
    <w:rsid w:val="000215D5"/>
    <w:rsid w:val="00022344"/>
    <w:rsid w:val="00031960"/>
    <w:rsid w:val="00121ED8"/>
    <w:rsid w:val="0013593D"/>
    <w:rsid w:val="0013783D"/>
    <w:rsid w:val="00185A30"/>
    <w:rsid w:val="001A287A"/>
    <w:rsid w:val="003831D8"/>
    <w:rsid w:val="003E3FBC"/>
    <w:rsid w:val="003F0A7A"/>
    <w:rsid w:val="00433C1B"/>
    <w:rsid w:val="00512C9E"/>
    <w:rsid w:val="005E3DE5"/>
    <w:rsid w:val="006105E5"/>
    <w:rsid w:val="00780A81"/>
    <w:rsid w:val="00AB4FD8"/>
    <w:rsid w:val="00AE6955"/>
    <w:rsid w:val="00B05F4E"/>
    <w:rsid w:val="00B414E5"/>
    <w:rsid w:val="00B82B82"/>
    <w:rsid w:val="00BB5801"/>
    <w:rsid w:val="00BD5993"/>
    <w:rsid w:val="00BE5A6E"/>
    <w:rsid w:val="00BF44D7"/>
    <w:rsid w:val="00D53B0D"/>
    <w:rsid w:val="00DE423F"/>
    <w:rsid w:val="00F16B2E"/>
    <w:rsid w:val="00F36AC3"/>
    <w:rsid w:val="00FB1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23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55"/>
    <w:rPr>
      <w:rFonts w:ascii="Tahoma" w:hAnsi="Tahoma" w:cs="Tahoma"/>
      <w:sz w:val="16"/>
      <w:szCs w:val="16"/>
    </w:rPr>
  </w:style>
  <w:style w:type="paragraph" w:styleId="ListParagraph">
    <w:name w:val="List Paragraph"/>
    <w:basedOn w:val="Normal"/>
    <w:uiPriority w:val="34"/>
    <w:qFormat/>
    <w:rsid w:val="00BE5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23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55"/>
    <w:rPr>
      <w:rFonts w:ascii="Tahoma" w:hAnsi="Tahoma" w:cs="Tahoma"/>
      <w:sz w:val="16"/>
      <w:szCs w:val="16"/>
    </w:rPr>
  </w:style>
  <w:style w:type="paragraph" w:styleId="ListParagraph">
    <w:name w:val="List Paragraph"/>
    <w:basedOn w:val="Normal"/>
    <w:uiPriority w:val="34"/>
    <w:qFormat/>
    <w:rsid w:val="00BE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Walford &amp; North Shropshire College</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ICT Services</cp:lastModifiedBy>
  <cp:revision>6</cp:revision>
  <cp:lastPrinted>2017-10-02T06:47:00Z</cp:lastPrinted>
  <dcterms:created xsi:type="dcterms:W3CDTF">2017-09-28T10:44:00Z</dcterms:created>
  <dcterms:modified xsi:type="dcterms:W3CDTF">2017-10-02T17:23:00Z</dcterms:modified>
</cp:coreProperties>
</file>