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94174" w14:paraId="4184820D" w14:textId="77777777" w:rsidTr="00493D2C">
        <w:tc>
          <w:tcPr>
            <w:tcW w:w="10218" w:type="dxa"/>
            <w:shd w:val="clear" w:color="auto" w:fill="auto"/>
          </w:tcPr>
          <w:p w14:paraId="5F222F73" w14:textId="77777777" w:rsidR="00E94174" w:rsidRPr="00926A02" w:rsidRDefault="00E94174" w:rsidP="00E94174">
            <w:pPr>
              <w:pStyle w:val="BodyText"/>
              <w:jc w:val="both"/>
              <w:rPr>
                <w:rFonts w:ascii="Times New Roman"/>
              </w:rPr>
            </w:pPr>
            <w:bookmarkStart w:id="0" w:name="_Hlk164073435"/>
            <w:bookmarkEnd w:id="0"/>
          </w:p>
          <w:p w14:paraId="3D832EFC" w14:textId="21746203" w:rsidR="00E94174" w:rsidRPr="00926A02" w:rsidRDefault="00E94174" w:rsidP="00E94174">
            <w:pPr>
              <w:spacing w:before="11"/>
              <w:ind w:left="2762"/>
              <w:jc w:val="both"/>
              <w:rPr>
                <w:b/>
              </w:rPr>
            </w:pPr>
            <w:r>
              <w:rPr>
                <w:noProof/>
              </w:rPr>
              <mc:AlternateContent>
                <mc:Choice Requires="wps">
                  <w:drawing>
                    <wp:anchor distT="0" distB="0" distL="114300" distR="114300" simplePos="0" relativeHeight="251659264" behindDoc="0" locked="0" layoutInCell="1" allowOverlap="1" wp14:anchorId="7B4D8490" wp14:editId="02C6D8B6">
                      <wp:simplePos x="0" y="0"/>
                      <wp:positionH relativeFrom="column">
                        <wp:posOffset>-1905</wp:posOffset>
                      </wp:positionH>
                      <wp:positionV relativeFrom="paragraph">
                        <wp:posOffset>32385</wp:posOffset>
                      </wp:positionV>
                      <wp:extent cx="1600200" cy="1000125"/>
                      <wp:effectExtent l="0" t="0" r="19050" b="28575"/>
                      <wp:wrapNone/>
                      <wp:docPr id="1850101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00125"/>
                              </a:xfrm>
                              <a:prstGeom prst="rect">
                                <a:avLst/>
                              </a:prstGeom>
                              <a:solidFill>
                                <a:srgbClr val="FFFFFF"/>
                              </a:solidFill>
                              <a:ln w="9525">
                                <a:solidFill>
                                  <a:srgbClr val="000000"/>
                                </a:solidFill>
                                <a:miter lim="800000"/>
                                <a:headEnd/>
                                <a:tailEnd/>
                              </a:ln>
                            </wps:spPr>
                            <wps:txbx>
                              <w:txbxContent>
                                <w:p w14:paraId="1CD3FA54" w14:textId="32BFBEED" w:rsidR="00E94174" w:rsidRDefault="00E94174" w:rsidP="00E94174">
                                  <w:bookmarkStart w:id="1" w:name="_Hlk164073265"/>
                                  <w:bookmarkEnd w:id="1"/>
                                  <w:r w:rsidRPr="002E6928">
                                    <w:rPr>
                                      <w:noProof/>
                                    </w:rPr>
                                    <w:drawing>
                                      <wp:inline distT="0" distB="0" distL="0" distR="0" wp14:anchorId="67E37A34" wp14:editId="57960EB9">
                                        <wp:extent cx="1409700" cy="847725"/>
                                        <wp:effectExtent l="0" t="0" r="0" b="9525"/>
                                        <wp:docPr id="1034530949"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logo of a tre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D8490" id="_x0000_t202" coordsize="21600,21600" o:spt="202" path="m,l,21600r21600,l21600,xe">
                      <v:stroke joinstyle="miter"/>
                      <v:path gradientshapeok="t" o:connecttype="rect"/>
                    </v:shapetype>
                    <v:shape id="Text Box 2" o:spid="_x0000_s1026" type="#_x0000_t202" style="position:absolute;left:0;text-align:left;margin-left:-.15pt;margin-top:2.55pt;width:126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">
                      <v:textbox>
                        <w:txbxContent>
                          <w:p w14:paraId="1CD3FA54" w14:textId="32BFBEED" w:rsidR="00E94174" w:rsidRDefault="00E94174" w:rsidP="00E94174">
                            <w:bookmarkStart w:id="2" w:name="_Hlk164073265"/>
                            <w:bookmarkEnd w:id="2"/>
                            <w:r w:rsidRPr="002E6928">
                              <w:rPr>
                                <w:noProof/>
                              </w:rPr>
                              <w:drawing>
                                <wp:inline distT="0" distB="0" distL="0" distR="0" wp14:anchorId="67E37A34" wp14:editId="57960EB9">
                                  <wp:extent cx="1409700" cy="847725"/>
                                  <wp:effectExtent l="0" t="0" r="0" b="9525"/>
                                  <wp:docPr id="1034530949"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logo of a tre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847725"/>
                                          </a:xfrm>
                                          <a:prstGeom prst="rect">
                                            <a:avLst/>
                                          </a:prstGeom>
                                          <a:noFill/>
                                          <a:ln>
                                            <a:noFill/>
                                          </a:ln>
                                        </pic:spPr>
                                      </pic:pic>
                                    </a:graphicData>
                                  </a:graphic>
                                </wp:inline>
                              </w:drawing>
                            </w:r>
                          </w:p>
                        </w:txbxContent>
                      </v:textbox>
                    </v:shape>
                  </w:pict>
                </mc:Fallback>
              </mc:AlternateContent>
            </w:r>
            <w:r w:rsidRPr="00926A02">
              <w:rPr>
                <w:b/>
              </w:rPr>
              <w:t>Job Description</w:t>
            </w:r>
          </w:p>
          <w:p w14:paraId="6CAE5C13" w14:textId="2461A3DD" w:rsidR="00E94174" w:rsidRPr="00926A02" w:rsidRDefault="00E94174" w:rsidP="00E94174">
            <w:pPr>
              <w:ind w:left="2762" w:right="306"/>
              <w:jc w:val="both"/>
              <w:rPr>
                <w:b/>
                <w:color w:val="1F487C"/>
                <w:sz w:val="28"/>
              </w:rPr>
            </w:pPr>
            <w:r>
              <w:rPr>
                <w:b/>
                <w:color w:val="1F487C"/>
                <w:sz w:val="28"/>
              </w:rPr>
              <w:t>SEND Lead</w:t>
            </w:r>
          </w:p>
          <w:p w14:paraId="780F3FA2" w14:textId="0EAFD566" w:rsidR="00E94174" w:rsidRPr="00926A02" w:rsidRDefault="00E94174" w:rsidP="00E94174">
            <w:pPr>
              <w:pStyle w:val="Text"/>
              <w:spacing w:line="360" w:lineRule="auto"/>
              <w:jc w:val="both"/>
              <w:rPr>
                <w:b/>
              </w:rPr>
            </w:pPr>
            <w:r w:rsidRPr="00372F85">
              <w:rPr>
                <w:rStyle w:val="Sub-headingChar"/>
              </w:rPr>
              <w:t xml:space="preserve">                                                 Contract type:</w:t>
            </w:r>
            <w:r w:rsidRPr="00926A02">
              <w:rPr>
                <w:b/>
              </w:rPr>
              <w:t xml:space="preserve"> </w:t>
            </w:r>
            <w:r>
              <w:rPr>
                <w:b/>
              </w:rPr>
              <w:t xml:space="preserve">  </w:t>
            </w:r>
            <w:r w:rsidRPr="00926A02">
              <w:rPr>
                <w:b/>
              </w:rPr>
              <w:t>Full-time permanent</w:t>
            </w:r>
          </w:p>
          <w:p w14:paraId="7C091811" w14:textId="7C0D85EA" w:rsidR="00E94174" w:rsidRPr="00926A02" w:rsidRDefault="00E94174" w:rsidP="00E94174">
            <w:pPr>
              <w:pStyle w:val="Text"/>
              <w:spacing w:line="360" w:lineRule="auto"/>
              <w:jc w:val="both"/>
              <w:rPr>
                <w:b/>
                <w:i/>
              </w:rPr>
            </w:pPr>
            <w:r w:rsidRPr="00372F85">
              <w:rPr>
                <w:rStyle w:val="Sub-headingChar"/>
              </w:rPr>
              <w:t xml:space="preserve">                                                 Reporting to:</w:t>
            </w:r>
            <w:r w:rsidRPr="00926A02">
              <w:rPr>
                <w:b/>
              </w:rPr>
              <w:t xml:space="preserve">    </w:t>
            </w:r>
            <w:r w:rsidRPr="0028287E">
              <w:t xml:space="preserve"> </w:t>
            </w:r>
            <w:r w:rsidRPr="00E94174">
              <w:rPr>
                <w:b/>
              </w:rPr>
              <w:t>Chief Commissioning Officer</w:t>
            </w:r>
          </w:p>
          <w:p w14:paraId="03ED4BE0" w14:textId="667F48BE" w:rsidR="00E94174" w:rsidRPr="00926A02" w:rsidRDefault="00E94174" w:rsidP="00E94174">
            <w:pPr>
              <w:pStyle w:val="Text"/>
              <w:spacing w:line="360" w:lineRule="auto"/>
              <w:jc w:val="both"/>
              <w:rPr>
                <w:i/>
              </w:rPr>
            </w:pPr>
            <w:r w:rsidRPr="00926A02">
              <w:rPr>
                <w:b/>
              </w:rPr>
              <w:t xml:space="preserve">                                                 Location:          </w:t>
            </w:r>
            <w:r w:rsidRPr="0028287E">
              <w:t xml:space="preserve"> </w:t>
            </w:r>
            <w:r w:rsidRPr="00E94174">
              <w:rPr>
                <w:b/>
              </w:rPr>
              <w:t>Various Schools (Multi-School Role)</w:t>
            </w:r>
          </w:p>
        </w:tc>
      </w:tr>
    </w:tbl>
    <w:p w14:paraId="3343739B" w14:textId="5A70AFD9" w:rsidR="0028287E" w:rsidRPr="0028287E" w:rsidRDefault="0028287E" w:rsidP="00E94174">
      <w:pPr>
        <w:jc w:val="both"/>
      </w:pPr>
    </w:p>
    <w:p w14:paraId="3DB6CCC3"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Job Purpose</w:t>
      </w:r>
    </w:p>
    <w:p w14:paraId="28DA2B4F" w14:textId="6AD47C63" w:rsidR="0028287E" w:rsidRPr="00E94174" w:rsidRDefault="0028287E" w:rsidP="00E94174">
      <w:pPr>
        <w:jc w:val="both"/>
        <w:rPr>
          <w:rFonts w:ascii="Arial" w:hAnsi="Arial" w:cs="Arial"/>
          <w:sz w:val="22"/>
          <w:szCs w:val="22"/>
        </w:rPr>
      </w:pPr>
      <w:r w:rsidRPr="00E94174">
        <w:rPr>
          <w:rFonts w:ascii="Arial" w:hAnsi="Arial" w:cs="Arial"/>
          <w:sz w:val="22"/>
          <w:szCs w:val="22"/>
        </w:rPr>
        <w:t>The SEND Lead is responsible for quality assuring SEND provision across all schools within S</w:t>
      </w:r>
      <w:r w:rsidR="00E94174">
        <w:rPr>
          <w:rFonts w:ascii="Arial" w:hAnsi="Arial" w:cs="Arial"/>
          <w:sz w:val="22"/>
          <w:szCs w:val="22"/>
        </w:rPr>
        <w:t xml:space="preserve">erenity Education </w:t>
      </w:r>
      <w:r w:rsidRPr="00E94174">
        <w:rPr>
          <w:rFonts w:ascii="Arial" w:hAnsi="Arial" w:cs="Arial"/>
          <w:sz w:val="22"/>
          <w:szCs w:val="22"/>
        </w:rPr>
        <w:t>Group, ensuring adherence to the SEND Code of Practice and the effective implementation of key SEND systems. Working under the direction of the Chief Commissioning Officer, the SEND Lead will provide oversight, guidance, and support to multiple SENDCOs, ensuring high standards of SEND practice across schools.</w:t>
      </w:r>
    </w:p>
    <w:p w14:paraId="54BC40B4" w14:textId="5F3AD5A0" w:rsidR="0028287E" w:rsidRPr="00E94174" w:rsidRDefault="0028287E" w:rsidP="00E94174">
      <w:pPr>
        <w:jc w:val="both"/>
        <w:rPr>
          <w:rFonts w:ascii="Arial" w:hAnsi="Arial" w:cs="Arial"/>
          <w:sz w:val="22"/>
          <w:szCs w:val="22"/>
        </w:rPr>
      </w:pPr>
    </w:p>
    <w:p w14:paraId="550B0C69"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Key Responsibilities</w:t>
      </w:r>
    </w:p>
    <w:p w14:paraId="23E7FBE0"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Strategic Leadership &amp; Quality Assurance</w:t>
      </w:r>
    </w:p>
    <w:p w14:paraId="15B69127" w14:textId="77777777" w:rsidR="0028287E" w:rsidRPr="00E94174" w:rsidRDefault="0028287E" w:rsidP="00E94174">
      <w:pPr>
        <w:numPr>
          <w:ilvl w:val="0"/>
          <w:numId w:val="1"/>
        </w:numPr>
        <w:jc w:val="both"/>
        <w:rPr>
          <w:rFonts w:ascii="Arial" w:hAnsi="Arial" w:cs="Arial"/>
          <w:sz w:val="22"/>
          <w:szCs w:val="22"/>
        </w:rPr>
      </w:pPr>
      <w:r w:rsidRPr="00E94174">
        <w:rPr>
          <w:rFonts w:ascii="Arial" w:hAnsi="Arial" w:cs="Arial"/>
          <w:sz w:val="22"/>
          <w:szCs w:val="22"/>
        </w:rPr>
        <w:t>Ensure schools comply with the SEND Code of Practice (2015) and all legal obligations related to SEND provision.</w:t>
      </w:r>
    </w:p>
    <w:p w14:paraId="17EB314E" w14:textId="77777777" w:rsidR="0028287E" w:rsidRPr="00E94174" w:rsidRDefault="0028287E" w:rsidP="00E94174">
      <w:pPr>
        <w:numPr>
          <w:ilvl w:val="0"/>
          <w:numId w:val="1"/>
        </w:numPr>
        <w:jc w:val="both"/>
        <w:rPr>
          <w:rFonts w:ascii="Arial" w:hAnsi="Arial" w:cs="Arial"/>
          <w:sz w:val="22"/>
          <w:szCs w:val="22"/>
        </w:rPr>
      </w:pPr>
      <w:r w:rsidRPr="00E94174">
        <w:rPr>
          <w:rFonts w:ascii="Arial" w:hAnsi="Arial" w:cs="Arial"/>
          <w:sz w:val="22"/>
          <w:szCs w:val="22"/>
        </w:rPr>
        <w:t>Conduct regular audits and quality assurance reviews of SEND provision in schools.</w:t>
      </w:r>
    </w:p>
    <w:p w14:paraId="34CF304A" w14:textId="77777777" w:rsidR="0028287E" w:rsidRPr="00E94174" w:rsidRDefault="0028287E" w:rsidP="00E94174">
      <w:pPr>
        <w:numPr>
          <w:ilvl w:val="0"/>
          <w:numId w:val="1"/>
        </w:numPr>
        <w:jc w:val="both"/>
        <w:rPr>
          <w:rFonts w:ascii="Arial" w:hAnsi="Arial" w:cs="Arial"/>
          <w:sz w:val="22"/>
          <w:szCs w:val="22"/>
        </w:rPr>
      </w:pPr>
      <w:r w:rsidRPr="00E94174">
        <w:rPr>
          <w:rFonts w:ascii="Arial" w:hAnsi="Arial" w:cs="Arial"/>
          <w:sz w:val="22"/>
          <w:szCs w:val="22"/>
        </w:rPr>
        <w:t>Support schools in developing and implementing effective SEND strategies and inclusive practices.</w:t>
      </w:r>
    </w:p>
    <w:p w14:paraId="0B7C4E25" w14:textId="64E8C4F2" w:rsidR="0028287E" w:rsidRPr="00E94174" w:rsidRDefault="0028287E" w:rsidP="00E94174">
      <w:pPr>
        <w:numPr>
          <w:ilvl w:val="0"/>
          <w:numId w:val="1"/>
        </w:numPr>
        <w:jc w:val="both"/>
        <w:rPr>
          <w:rFonts w:ascii="Arial" w:hAnsi="Arial" w:cs="Arial"/>
          <w:sz w:val="22"/>
          <w:szCs w:val="22"/>
        </w:rPr>
      </w:pPr>
      <w:r w:rsidRPr="00E94174">
        <w:rPr>
          <w:rFonts w:ascii="Arial" w:hAnsi="Arial" w:cs="Arial"/>
          <w:sz w:val="22"/>
          <w:szCs w:val="22"/>
        </w:rPr>
        <w:t>Monitor the effectiveness of interventions, provisions, and outcomes for students with SEND. Working closely with the MDT in each school.</w:t>
      </w:r>
    </w:p>
    <w:p w14:paraId="3ACE8AF4" w14:textId="77777777" w:rsidR="0028287E" w:rsidRPr="00E94174" w:rsidRDefault="0028287E" w:rsidP="00E94174">
      <w:pPr>
        <w:numPr>
          <w:ilvl w:val="0"/>
          <w:numId w:val="1"/>
        </w:numPr>
        <w:jc w:val="both"/>
        <w:rPr>
          <w:rFonts w:ascii="Arial" w:hAnsi="Arial" w:cs="Arial"/>
          <w:sz w:val="22"/>
          <w:szCs w:val="22"/>
        </w:rPr>
      </w:pPr>
      <w:r w:rsidRPr="00E94174">
        <w:rPr>
          <w:rFonts w:ascii="Arial" w:hAnsi="Arial" w:cs="Arial"/>
          <w:sz w:val="22"/>
          <w:szCs w:val="22"/>
        </w:rPr>
        <w:t>Provide strategic advice to school leadership teams on best practices in SEND and improvement strategies.</w:t>
      </w:r>
    </w:p>
    <w:p w14:paraId="20B57E3F"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Support &amp; Development of SENDCOs</w:t>
      </w:r>
    </w:p>
    <w:p w14:paraId="6DB8F4ED" w14:textId="77777777" w:rsidR="0028287E" w:rsidRPr="00E94174" w:rsidRDefault="0028287E" w:rsidP="00E94174">
      <w:pPr>
        <w:numPr>
          <w:ilvl w:val="0"/>
          <w:numId w:val="2"/>
        </w:numPr>
        <w:jc w:val="both"/>
        <w:rPr>
          <w:rFonts w:ascii="Arial" w:hAnsi="Arial" w:cs="Arial"/>
          <w:sz w:val="22"/>
          <w:szCs w:val="22"/>
        </w:rPr>
      </w:pPr>
      <w:r w:rsidRPr="00E94174">
        <w:rPr>
          <w:rFonts w:ascii="Arial" w:hAnsi="Arial" w:cs="Arial"/>
          <w:sz w:val="22"/>
          <w:szCs w:val="22"/>
        </w:rPr>
        <w:t>Offer expert guidance, coaching, and professional development to SENDCOs across multiple schools.</w:t>
      </w:r>
    </w:p>
    <w:p w14:paraId="6B991138" w14:textId="77777777" w:rsidR="0028287E" w:rsidRPr="00E94174" w:rsidRDefault="0028287E" w:rsidP="00E94174">
      <w:pPr>
        <w:numPr>
          <w:ilvl w:val="0"/>
          <w:numId w:val="2"/>
        </w:numPr>
        <w:jc w:val="both"/>
        <w:rPr>
          <w:rFonts w:ascii="Arial" w:hAnsi="Arial" w:cs="Arial"/>
          <w:sz w:val="22"/>
          <w:szCs w:val="22"/>
        </w:rPr>
      </w:pPr>
      <w:r w:rsidRPr="00E94174">
        <w:rPr>
          <w:rFonts w:ascii="Arial" w:hAnsi="Arial" w:cs="Arial"/>
          <w:sz w:val="22"/>
          <w:szCs w:val="22"/>
        </w:rPr>
        <w:t>Facilitate regular SENDCO network meetings to share best practices and address common challenges.</w:t>
      </w:r>
    </w:p>
    <w:p w14:paraId="6A368B8D" w14:textId="77777777" w:rsidR="0028287E" w:rsidRPr="00E94174" w:rsidRDefault="0028287E" w:rsidP="00E94174">
      <w:pPr>
        <w:numPr>
          <w:ilvl w:val="0"/>
          <w:numId w:val="2"/>
        </w:numPr>
        <w:jc w:val="both"/>
        <w:rPr>
          <w:rFonts w:ascii="Arial" w:hAnsi="Arial" w:cs="Arial"/>
          <w:sz w:val="22"/>
          <w:szCs w:val="22"/>
        </w:rPr>
      </w:pPr>
      <w:r w:rsidRPr="00E94174">
        <w:rPr>
          <w:rFonts w:ascii="Arial" w:hAnsi="Arial" w:cs="Arial"/>
          <w:sz w:val="22"/>
          <w:szCs w:val="22"/>
        </w:rPr>
        <w:t>Ensure all SENDCOs are well-trained in statutory requirements, EHCP processes, and multi-agency working.</w:t>
      </w:r>
    </w:p>
    <w:p w14:paraId="499483F4" w14:textId="77777777" w:rsidR="0028287E" w:rsidRDefault="0028287E" w:rsidP="00E94174">
      <w:pPr>
        <w:numPr>
          <w:ilvl w:val="0"/>
          <w:numId w:val="2"/>
        </w:numPr>
        <w:jc w:val="both"/>
        <w:rPr>
          <w:rFonts w:ascii="Arial" w:hAnsi="Arial" w:cs="Arial"/>
          <w:sz w:val="22"/>
          <w:szCs w:val="22"/>
        </w:rPr>
      </w:pPr>
      <w:r w:rsidRPr="00E94174">
        <w:rPr>
          <w:rFonts w:ascii="Arial" w:hAnsi="Arial" w:cs="Arial"/>
          <w:sz w:val="22"/>
          <w:szCs w:val="22"/>
        </w:rPr>
        <w:t>Provide targeted support and challenge where schools are underperforming in SEND provision.</w:t>
      </w:r>
    </w:p>
    <w:p w14:paraId="57E2B98F" w14:textId="77777777" w:rsidR="00E94174" w:rsidRPr="00E94174" w:rsidRDefault="00E94174" w:rsidP="00E94174">
      <w:pPr>
        <w:ind w:left="720"/>
        <w:jc w:val="both"/>
        <w:rPr>
          <w:rFonts w:ascii="Arial" w:hAnsi="Arial" w:cs="Arial"/>
          <w:sz w:val="22"/>
          <w:szCs w:val="22"/>
        </w:rPr>
      </w:pPr>
    </w:p>
    <w:p w14:paraId="6196F869"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lastRenderedPageBreak/>
        <w:t>Compliance &amp; Reporting</w:t>
      </w:r>
    </w:p>
    <w:p w14:paraId="77C4CD00" w14:textId="77777777" w:rsidR="0028287E" w:rsidRPr="00E94174" w:rsidRDefault="0028287E" w:rsidP="00E94174">
      <w:pPr>
        <w:numPr>
          <w:ilvl w:val="0"/>
          <w:numId w:val="3"/>
        </w:numPr>
        <w:jc w:val="both"/>
        <w:rPr>
          <w:rFonts w:ascii="Arial" w:hAnsi="Arial" w:cs="Arial"/>
          <w:sz w:val="22"/>
          <w:szCs w:val="22"/>
        </w:rPr>
      </w:pPr>
      <w:r w:rsidRPr="00E94174">
        <w:rPr>
          <w:rFonts w:ascii="Arial" w:hAnsi="Arial" w:cs="Arial"/>
          <w:sz w:val="22"/>
          <w:szCs w:val="22"/>
        </w:rPr>
        <w:t>Review and support schools in maintaining accurate SEND records, including EHCPs, SEND registers, and provision maps.</w:t>
      </w:r>
    </w:p>
    <w:p w14:paraId="53F978AD" w14:textId="77777777" w:rsidR="0028287E" w:rsidRPr="00E94174" w:rsidRDefault="0028287E" w:rsidP="00E94174">
      <w:pPr>
        <w:numPr>
          <w:ilvl w:val="0"/>
          <w:numId w:val="3"/>
        </w:numPr>
        <w:jc w:val="both"/>
        <w:rPr>
          <w:rFonts w:ascii="Arial" w:hAnsi="Arial" w:cs="Arial"/>
          <w:sz w:val="22"/>
          <w:szCs w:val="22"/>
        </w:rPr>
      </w:pPr>
      <w:r w:rsidRPr="00E94174">
        <w:rPr>
          <w:rFonts w:ascii="Arial" w:hAnsi="Arial" w:cs="Arial"/>
          <w:sz w:val="22"/>
          <w:szCs w:val="22"/>
        </w:rPr>
        <w:t>Ensure schools meet statutory deadlines for EHCP reviews and assessments.</w:t>
      </w:r>
    </w:p>
    <w:p w14:paraId="24977278" w14:textId="77777777" w:rsidR="0028287E" w:rsidRPr="00E94174" w:rsidRDefault="0028287E" w:rsidP="00E94174">
      <w:pPr>
        <w:numPr>
          <w:ilvl w:val="0"/>
          <w:numId w:val="3"/>
        </w:numPr>
        <w:jc w:val="both"/>
        <w:rPr>
          <w:rFonts w:ascii="Arial" w:hAnsi="Arial" w:cs="Arial"/>
          <w:sz w:val="22"/>
          <w:szCs w:val="22"/>
        </w:rPr>
      </w:pPr>
      <w:r w:rsidRPr="00E94174">
        <w:rPr>
          <w:rFonts w:ascii="Arial" w:hAnsi="Arial" w:cs="Arial"/>
          <w:sz w:val="22"/>
          <w:szCs w:val="22"/>
        </w:rPr>
        <w:t>Work with school leadership teams to develop action plans following quality assurance visits.</w:t>
      </w:r>
    </w:p>
    <w:p w14:paraId="610F3577" w14:textId="77777777" w:rsidR="0028287E" w:rsidRPr="00E94174" w:rsidRDefault="0028287E" w:rsidP="00E94174">
      <w:pPr>
        <w:numPr>
          <w:ilvl w:val="0"/>
          <w:numId w:val="3"/>
        </w:numPr>
        <w:jc w:val="both"/>
        <w:rPr>
          <w:rFonts w:ascii="Arial" w:hAnsi="Arial" w:cs="Arial"/>
          <w:sz w:val="22"/>
          <w:szCs w:val="22"/>
        </w:rPr>
      </w:pPr>
      <w:r w:rsidRPr="00E94174">
        <w:rPr>
          <w:rFonts w:ascii="Arial" w:hAnsi="Arial" w:cs="Arial"/>
          <w:sz w:val="22"/>
          <w:szCs w:val="22"/>
        </w:rPr>
        <w:t>Liaise with Local Authorities, Ofsted, and other external bodies to ensure SEND provision meets required standards.</w:t>
      </w:r>
    </w:p>
    <w:p w14:paraId="160D078E" w14:textId="011C8C75" w:rsidR="0028287E" w:rsidRPr="00E94174" w:rsidRDefault="0028287E" w:rsidP="00E94174">
      <w:pPr>
        <w:numPr>
          <w:ilvl w:val="0"/>
          <w:numId w:val="3"/>
        </w:numPr>
        <w:jc w:val="both"/>
        <w:rPr>
          <w:rFonts w:ascii="Arial" w:hAnsi="Arial" w:cs="Arial"/>
          <w:sz w:val="22"/>
          <w:szCs w:val="22"/>
        </w:rPr>
      </w:pPr>
      <w:r w:rsidRPr="00E94174">
        <w:rPr>
          <w:rFonts w:ascii="Arial" w:hAnsi="Arial" w:cs="Arial"/>
          <w:sz w:val="22"/>
          <w:szCs w:val="22"/>
        </w:rPr>
        <w:t>Report SEND progress to SED group termly.</w:t>
      </w:r>
    </w:p>
    <w:p w14:paraId="1F830833"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Collaboration &amp; Multi-Agency Working</w:t>
      </w:r>
    </w:p>
    <w:p w14:paraId="00DE4A92" w14:textId="77777777" w:rsidR="0028287E" w:rsidRPr="00E94174" w:rsidRDefault="0028287E" w:rsidP="00E94174">
      <w:pPr>
        <w:numPr>
          <w:ilvl w:val="0"/>
          <w:numId w:val="4"/>
        </w:numPr>
        <w:jc w:val="both"/>
        <w:rPr>
          <w:rFonts w:ascii="Arial" w:hAnsi="Arial" w:cs="Arial"/>
          <w:sz w:val="22"/>
          <w:szCs w:val="22"/>
        </w:rPr>
      </w:pPr>
      <w:r w:rsidRPr="00E94174">
        <w:rPr>
          <w:rFonts w:ascii="Arial" w:hAnsi="Arial" w:cs="Arial"/>
          <w:sz w:val="22"/>
          <w:szCs w:val="22"/>
        </w:rPr>
        <w:t>Work with external agencies, including educational psychologists, health professionals, social care teams, and specialist SEND services.</w:t>
      </w:r>
    </w:p>
    <w:p w14:paraId="6ADF85CC" w14:textId="77777777" w:rsidR="0028287E" w:rsidRPr="00E94174" w:rsidRDefault="0028287E" w:rsidP="00E94174">
      <w:pPr>
        <w:numPr>
          <w:ilvl w:val="0"/>
          <w:numId w:val="4"/>
        </w:numPr>
        <w:jc w:val="both"/>
        <w:rPr>
          <w:rFonts w:ascii="Arial" w:hAnsi="Arial" w:cs="Arial"/>
          <w:sz w:val="22"/>
          <w:szCs w:val="22"/>
        </w:rPr>
      </w:pPr>
      <w:r w:rsidRPr="00E94174">
        <w:rPr>
          <w:rFonts w:ascii="Arial" w:hAnsi="Arial" w:cs="Arial"/>
          <w:sz w:val="22"/>
          <w:szCs w:val="22"/>
        </w:rPr>
        <w:t>Facilitate effective multi-agency collaboration to support SEND pupils’ needs.</w:t>
      </w:r>
    </w:p>
    <w:p w14:paraId="1C1CDD3F" w14:textId="77777777" w:rsidR="0028287E" w:rsidRPr="00E94174" w:rsidRDefault="0028287E" w:rsidP="00E94174">
      <w:pPr>
        <w:numPr>
          <w:ilvl w:val="0"/>
          <w:numId w:val="4"/>
        </w:numPr>
        <w:jc w:val="both"/>
        <w:rPr>
          <w:rFonts w:ascii="Arial" w:hAnsi="Arial" w:cs="Arial"/>
          <w:sz w:val="22"/>
          <w:szCs w:val="22"/>
        </w:rPr>
      </w:pPr>
      <w:r w:rsidRPr="00E94174">
        <w:rPr>
          <w:rFonts w:ascii="Arial" w:hAnsi="Arial" w:cs="Arial"/>
          <w:sz w:val="22"/>
          <w:szCs w:val="22"/>
        </w:rPr>
        <w:t>Ensure smooth transitions for SEND pupils across different phases of education.</w:t>
      </w:r>
    </w:p>
    <w:p w14:paraId="1A607BC0" w14:textId="2FF5936B" w:rsidR="0028287E" w:rsidRPr="00E94174" w:rsidRDefault="0028287E" w:rsidP="00E94174">
      <w:pPr>
        <w:jc w:val="both"/>
        <w:rPr>
          <w:rFonts w:ascii="Arial" w:hAnsi="Arial" w:cs="Arial"/>
          <w:sz w:val="22"/>
          <w:szCs w:val="22"/>
        </w:rPr>
      </w:pPr>
    </w:p>
    <w:p w14:paraId="027841A1"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Person Specification</w:t>
      </w:r>
    </w:p>
    <w:p w14:paraId="5A7A7EE6"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Essential Qualifications &amp; Experience</w:t>
      </w:r>
    </w:p>
    <w:p w14:paraId="28632D5A" w14:textId="520E02B4" w:rsidR="0028287E" w:rsidRPr="00E94174" w:rsidRDefault="0028287E" w:rsidP="00E94174">
      <w:pPr>
        <w:numPr>
          <w:ilvl w:val="0"/>
          <w:numId w:val="5"/>
        </w:numPr>
        <w:jc w:val="both"/>
        <w:rPr>
          <w:rFonts w:ascii="Arial" w:hAnsi="Arial" w:cs="Arial"/>
          <w:sz w:val="22"/>
          <w:szCs w:val="22"/>
        </w:rPr>
      </w:pPr>
      <w:r w:rsidRPr="00E94174">
        <w:rPr>
          <w:rFonts w:ascii="Arial" w:hAnsi="Arial" w:cs="Arial"/>
          <w:sz w:val="22"/>
          <w:szCs w:val="22"/>
        </w:rPr>
        <w:t>Qualified Teacher Status (QTS) with experience as a SENDCO.</w:t>
      </w:r>
    </w:p>
    <w:p w14:paraId="5B4C266F" w14:textId="77777777" w:rsidR="0028287E" w:rsidRPr="00E94174" w:rsidRDefault="0028287E" w:rsidP="00E94174">
      <w:pPr>
        <w:numPr>
          <w:ilvl w:val="0"/>
          <w:numId w:val="5"/>
        </w:numPr>
        <w:jc w:val="both"/>
        <w:rPr>
          <w:rFonts w:ascii="Arial" w:hAnsi="Arial" w:cs="Arial"/>
          <w:sz w:val="22"/>
          <w:szCs w:val="22"/>
        </w:rPr>
      </w:pPr>
      <w:r w:rsidRPr="00E94174">
        <w:rPr>
          <w:rFonts w:ascii="Arial" w:hAnsi="Arial" w:cs="Arial"/>
          <w:sz w:val="22"/>
          <w:szCs w:val="22"/>
        </w:rPr>
        <w:t>Proven track record of successfully leading and improving SEND provision in a school or across multiple schools.</w:t>
      </w:r>
    </w:p>
    <w:p w14:paraId="136B607F" w14:textId="77777777" w:rsidR="0028287E" w:rsidRPr="00E94174" w:rsidRDefault="0028287E" w:rsidP="00E94174">
      <w:pPr>
        <w:numPr>
          <w:ilvl w:val="0"/>
          <w:numId w:val="5"/>
        </w:numPr>
        <w:jc w:val="both"/>
        <w:rPr>
          <w:rFonts w:ascii="Arial" w:hAnsi="Arial" w:cs="Arial"/>
          <w:sz w:val="22"/>
          <w:szCs w:val="22"/>
        </w:rPr>
      </w:pPr>
      <w:r w:rsidRPr="00E94174">
        <w:rPr>
          <w:rFonts w:ascii="Arial" w:hAnsi="Arial" w:cs="Arial"/>
          <w:sz w:val="22"/>
          <w:szCs w:val="22"/>
        </w:rPr>
        <w:t>Strong knowledge of the SEND Code of Practice (2015) and current legislation.</w:t>
      </w:r>
    </w:p>
    <w:p w14:paraId="19619865" w14:textId="77777777" w:rsidR="0028287E" w:rsidRPr="00E94174" w:rsidRDefault="0028287E" w:rsidP="00E94174">
      <w:pPr>
        <w:numPr>
          <w:ilvl w:val="0"/>
          <w:numId w:val="5"/>
        </w:numPr>
        <w:jc w:val="both"/>
        <w:rPr>
          <w:rFonts w:ascii="Arial" w:hAnsi="Arial" w:cs="Arial"/>
          <w:sz w:val="22"/>
          <w:szCs w:val="22"/>
        </w:rPr>
      </w:pPr>
      <w:r w:rsidRPr="00E94174">
        <w:rPr>
          <w:rFonts w:ascii="Arial" w:hAnsi="Arial" w:cs="Arial"/>
          <w:sz w:val="22"/>
          <w:szCs w:val="22"/>
        </w:rPr>
        <w:t>Experience working with Local Authorities, external agencies, and multi-disciplinary teams.</w:t>
      </w:r>
    </w:p>
    <w:p w14:paraId="50200D44" w14:textId="77777777"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Skills &amp; Competencies</w:t>
      </w:r>
    </w:p>
    <w:p w14:paraId="78A9DAD7" w14:textId="77777777" w:rsidR="0028287E" w:rsidRPr="00E94174" w:rsidRDefault="0028287E" w:rsidP="00E94174">
      <w:pPr>
        <w:numPr>
          <w:ilvl w:val="0"/>
          <w:numId w:val="6"/>
        </w:numPr>
        <w:jc w:val="both"/>
        <w:rPr>
          <w:rFonts w:ascii="Arial" w:hAnsi="Arial" w:cs="Arial"/>
          <w:sz w:val="22"/>
          <w:szCs w:val="22"/>
        </w:rPr>
      </w:pPr>
      <w:r w:rsidRPr="00E94174">
        <w:rPr>
          <w:rFonts w:ascii="Arial" w:hAnsi="Arial" w:cs="Arial"/>
          <w:sz w:val="22"/>
          <w:szCs w:val="22"/>
        </w:rPr>
        <w:t>Strong leadership and coaching skills to develop SENDCOs and school staff.</w:t>
      </w:r>
    </w:p>
    <w:p w14:paraId="273D74F3" w14:textId="77777777" w:rsidR="0028287E" w:rsidRPr="00E94174" w:rsidRDefault="0028287E" w:rsidP="00E94174">
      <w:pPr>
        <w:numPr>
          <w:ilvl w:val="0"/>
          <w:numId w:val="6"/>
        </w:numPr>
        <w:jc w:val="both"/>
        <w:rPr>
          <w:rFonts w:ascii="Arial" w:hAnsi="Arial" w:cs="Arial"/>
          <w:sz w:val="22"/>
          <w:szCs w:val="22"/>
        </w:rPr>
      </w:pPr>
      <w:r w:rsidRPr="00E94174">
        <w:rPr>
          <w:rFonts w:ascii="Arial" w:hAnsi="Arial" w:cs="Arial"/>
          <w:sz w:val="22"/>
          <w:szCs w:val="22"/>
        </w:rPr>
        <w:t>Excellent analytical skills to evaluate SEND data and provision effectiveness.</w:t>
      </w:r>
    </w:p>
    <w:p w14:paraId="7BBC5814" w14:textId="77777777" w:rsidR="0028287E" w:rsidRPr="00E94174" w:rsidRDefault="0028287E" w:rsidP="00E94174">
      <w:pPr>
        <w:numPr>
          <w:ilvl w:val="0"/>
          <w:numId w:val="6"/>
        </w:numPr>
        <w:jc w:val="both"/>
        <w:rPr>
          <w:rFonts w:ascii="Arial" w:hAnsi="Arial" w:cs="Arial"/>
          <w:sz w:val="22"/>
          <w:szCs w:val="22"/>
        </w:rPr>
      </w:pPr>
      <w:r w:rsidRPr="00E94174">
        <w:rPr>
          <w:rFonts w:ascii="Arial" w:hAnsi="Arial" w:cs="Arial"/>
          <w:sz w:val="22"/>
          <w:szCs w:val="22"/>
        </w:rPr>
        <w:t>Ability to challenge and support schools to improve SEND outcomes.</w:t>
      </w:r>
    </w:p>
    <w:p w14:paraId="038BF440" w14:textId="77777777" w:rsidR="0028287E" w:rsidRPr="00E94174" w:rsidRDefault="0028287E" w:rsidP="00E94174">
      <w:pPr>
        <w:numPr>
          <w:ilvl w:val="0"/>
          <w:numId w:val="6"/>
        </w:numPr>
        <w:jc w:val="both"/>
        <w:rPr>
          <w:rFonts w:ascii="Arial" w:hAnsi="Arial" w:cs="Arial"/>
          <w:sz w:val="22"/>
          <w:szCs w:val="22"/>
        </w:rPr>
      </w:pPr>
      <w:r w:rsidRPr="00E94174">
        <w:rPr>
          <w:rFonts w:ascii="Arial" w:hAnsi="Arial" w:cs="Arial"/>
          <w:sz w:val="22"/>
          <w:szCs w:val="22"/>
        </w:rPr>
        <w:t>Strong communication skills, able to engage with school leaders, teachers, parents, and external agencies.</w:t>
      </w:r>
    </w:p>
    <w:p w14:paraId="2B25EDD4" w14:textId="77777777" w:rsidR="0028287E" w:rsidRPr="00E94174" w:rsidRDefault="0028287E" w:rsidP="00E94174">
      <w:pPr>
        <w:numPr>
          <w:ilvl w:val="0"/>
          <w:numId w:val="6"/>
        </w:numPr>
        <w:jc w:val="both"/>
        <w:rPr>
          <w:rFonts w:ascii="Arial" w:hAnsi="Arial" w:cs="Arial"/>
          <w:sz w:val="22"/>
          <w:szCs w:val="22"/>
        </w:rPr>
      </w:pPr>
      <w:r w:rsidRPr="00E94174">
        <w:rPr>
          <w:rFonts w:ascii="Arial" w:hAnsi="Arial" w:cs="Arial"/>
          <w:sz w:val="22"/>
          <w:szCs w:val="22"/>
        </w:rPr>
        <w:t>Ability to manage multiple schools effectively, prioritizing workload and meeting statutory deadlines.</w:t>
      </w:r>
    </w:p>
    <w:p w14:paraId="4501EB9A" w14:textId="54F88753" w:rsidR="0028287E" w:rsidRPr="00E94174" w:rsidRDefault="0028287E" w:rsidP="00E94174">
      <w:pPr>
        <w:numPr>
          <w:ilvl w:val="0"/>
          <w:numId w:val="6"/>
        </w:numPr>
        <w:jc w:val="both"/>
        <w:rPr>
          <w:rFonts w:ascii="Arial" w:hAnsi="Arial" w:cs="Arial"/>
          <w:sz w:val="22"/>
          <w:szCs w:val="22"/>
        </w:rPr>
      </w:pPr>
      <w:r w:rsidRPr="00E94174">
        <w:rPr>
          <w:rFonts w:ascii="Arial" w:hAnsi="Arial" w:cs="Arial"/>
          <w:sz w:val="22"/>
          <w:szCs w:val="22"/>
        </w:rPr>
        <w:t>Commitment to inclusion, diversity, and safeguarding in education.</w:t>
      </w:r>
    </w:p>
    <w:p w14:paraId="6921A8CB" w14:textId="1F6957A3" w:rsidR="0028287E" w:rsidRPr="00E94174" w:rsidRDefault="0028287E" w:rsidP="00E94174">
      <w:pPr>
        <w:jc w:val="both"/>
        <w:rPr>
          <w:rFonts w:ascii="Arial" w:hAnsi="Arial" w:cs="Arial"/>
          <w:b/>
          <w:bCs/>
          <w:sz w:val="22"/>
          <w:szCs w:val="22"/>
        </w:rPr>
      </w:pPr>
      <w:r w:rsidRPr="00E94174">
        <w:rPr>
          <w:rFonts w:ascii="Arial" w:hAnsi="Arial" w:cs="Arial"/>
          <w:b/>
          <w:bCs/>
          <w:sz w:val="22"/>
          <w:szCs w:val="22"/>
        </w:rPr>
        <w:t xml:space="preserve">Desirable requirement </w:t>
      </w:r>
    </w:p>
    <w:p w14:paraId="4B555839" w14:textId="77777777" w:rsidR="0028287E" w:rsidRPr="00E94174" w:rsidRDefault="0028287E" w:rsidP="00E94174">
      <w:pPr>
        <w:numPr>
          <w:ilvl w:val="0"/>
          <w:numId w:val="7"/>
        </w:numPr>
        <w:jc w:val="both"/>
        <w:rPr>
          <w:rFonts w:ascii="Arial" w:hAnsi="Arial" w:cs="Arial"/>
          <w:sz w:val="22"/>
          <w:szCs w:val="22"/>
        </w:rPr>
      </w:pPr>
      <w:r w:rsidRPr="00E94174">
        <w:rPr>
          <w:rFonts w:ascii="Arial" w:hAnsi="Arial" w:cs="Arial"/>
          <w:sz w:val="22"/>
          <w:szCs w:val="22"/>
        </w:rPr>
        <w:t>Full UK driving license and willingness to travel between schools.</w:t>
      </w:r>
    </w:p>
    <w:p w14:paraId="5B7CF8F0" w14:textId="77777777" w:rsidR="00242E36" w:rsidRDefault="00242E36" w:rsidP="00242E36">
      <w:pPr>
        <w:pStyle w:val="1bodycopy10pt"/>
        <w:jc w:val="both"/>
        <w:rPr>
          <w:rFonts w:eastAsiaTheme="minorHAnsi" w:cs="Arial"/>
          <w:kern w:val="2"/>
          <w:sz w:val="22"/>
          <w:szCs w:val="22"/>
          <w14:ligatures w14:val="standardContextual"/>
        </w:rPr>
      </w:pPr>
      <w:r w:rsidRPr="00F770EA">
        <w:rPr>
          <w:rFonts w:eastAsiaTheme="minorHAnsi" w:cs="Arial"/>
          <w:kern w:val="2"/>
          <w:sz w:val="22"/>
          <w:szCs w:val="22"/>
          <w14:ligatures w14:val="standardContextual"/>
        </w:rPr>
        <w:lastRenderedPageBreak/>
        <w:t xml:space="preserve">This </w:t>
      </w:r>
      <w:r>
        <w:rPr>
          <w:rFonts w:eastAsiaTheme="minorHAnsi" w:cs="Arial"/>
          <w:kern w:val="2"/>
          <w:sz w:val="22"/>
          <w:szCs w:val="22"/>
          <w14:ligatures w14:val="standardContextual"/>
        </w:rPr>
        <w:t>job description i</w:t>
      </w:r>
      <w:r w:rsidRPr="00F770EA">
        <w:rPr>
          <w:rFonts w:eastAsiaTheme="minorHAnsi" w:cs="Arial"/>
          <w:kern w:val="2"/>
          <w:sz w:val="22"/>
          <w:szCs w:val="22"/>
          <w14:ligatures w14:val="standardContextual"/>
        </w:rPr>
        <w:t>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5AAD6739" w14:textId="77777777" w:rsidR="00242E36" w:rsidRDefault="00242E36" w:rsidP="00242E36">
      <w:pPr>
        <w:pStyle w:val="1bodycopy10pt"/>
        <w:jc w:val="both"/>
        <w:rPr>
          <w:rFonts w:eastAsiaTheme="minorHAnsi" w:cs="Arial"/>
          <w:kern w:val="2"/>
          <w:sz w:val="22"/>
          <w:szCs w:val="22"/>
          <w14:ligatures w14:val="standardContextual"/>
        </w:rPr>
      </w:pPr>
    </w:p>
    <w:p w14:paraId="64F5E024" w14:textId="6466E6B4" w:rsidR="00242E36" w:rsidRPr="00242E36" w:rsidRDefault="00242E36" w:rsidP="00242E36">
      <w:pPr>
        <w:pStyle w:val="1bodycopy10pt"/>
        <w:jc w:val="both"/>
        <w:rPr>
          <w:rFonts w:eastAsiaTheme="minorHAnsi" w:cs="Arial"/>
          <w:kern w:val="2"/>
          <w:sz w:val="22"/>
          <w:szCs w:val="22"/>
          <w14:ligatures w14:val="standardContextual"/>
        </w:rPr>
      </w:pPr>
      <w:r w:rsidRPr="00242E36">
        <w:rPr>
          <w:rFonts w:cs="Arial"/>
          <w:sz w:val="22"/>
          <w:szCs w:val="22"/>
        </w:rPr>
        <w:t>The postholder must be flexible to ensure that the operational and strategic needs of the Group are met. This job description will be reviewed annually.</w:t>
      </w:r>
    </w:p>
    <w:p w14:paraId="69AFD91D" w14:textId="77777777" w:rsidR="00242E36" w:rsidRDefault="00242E36" w:rsidP="00242E36">
      <w:pPr>
        <w:pStyle w:val="BodyText"/>
        <w:spacing w:before="29"/>
        <w:ind w:right="1309"/>
        <w:jc w:val="both"/>
        <w:rPr>
          <w:rFonts w:cs="Arial"/>
          <w:sz w:val="22"/>
          <w:szCs w:val="22"/>
        </w:rPr>
      </w:pPr>
    </w:p>
    <w:p w14:paraId="17004F08" w14:textId="7C65D52B" w:rsidR="00242E36" w:rsidRPr="00242E36" w:rsidRDefault="00242E36" w:rsidP="00242E36">
      <w:pPr>
        <w:pStyle w:val="BodyText"/>
        <w:spacing w:before="29"/>
        <w:ind w:right="1309"/>
        <w:jc w:val="both"/>
        <w:rPr>
          <w:rFonts w:cs="Arial"/>
          <w:sz w:val="22"/>
          <w:szCs w:val="22"/>
        </w:rPr>
      </w:pPr>
      <w:r w:rsidRPr="00242E36">
        <w:rPr>
          <w:rFonts w:cs="Arial"/>
          <w:b/>
          <w:bCs/>
          <w:sz w:val="22"/>
          <w:szCs w:val="22"/>
        </w:rPr>
        <w:t>Equality and Diversity</w:t>
      </w:r>
    </w:p>
    <w:p w14:paraId="38CC028F" w14:textId="6988FB84" w:rsidR="00242E36" w:rsidRPr="00F770EA" w:rsidRDefault="00242E36" w:rsidP="00242E36">
      <w:pPr>
        <w:pStyle w:val="BodyText"/>
        <w:ind w:right="1455"/>
        <w:jc w:val="both"/>
        <w:rPr>
          <w:rFonts w:cs="Arial"/>
          <w:sz w:val="22"/>
          <w:szCs w:val="22"/>
        </w:rPr>
      </w:pPr>
      <w:r w:rsidRPr="00F770EA">
        <w:rPr>
          <w:rFonts w:cs="Arial"/>
          <w:sz w:val="22"/>
          <w:szCs w:val="22"/>
        </w:rPr>
        <w:t>We are committed to and champion equality and diversity in all aspects of employment. All employees are expected to understand and promote equality and diversity in the course of their work.</w:t>
      </w:r>
    </w:p>
    <w:p w14:paraId="058B0936" w14:textId="77777777" w:rsidR="00242E36" w:rsidRPr="00F770EA" w:rsidRDefault="00242E36" w:rsidP="00242E36">
      <w:pPr>
        <w:pStyle w:val="Heading1"/>
        <w:jc w:val="both"/>
        <w:rPr>
          <w:rFonts w:ascii="Arial" w:hAnsi="Arial" w:cs="Arial"/>
          <w:b/>
          <w:bCs/>
          <w:color w:val="auto"/>
          <w:sz w:val="22"/>
          <w:szCs w:val="22"/>
        </w:rPr>
      </w:pPr>
      <w:r w:rsidRPr="00F770EA">
        <w:rPr>
          <w:rFonts w:ascii="Arial" w:hAnsi="Arial" w:cs="Arial"/>
          <w:b/>
          <w:bCs/>
          <w:color w:val="auto"/>
          <w:sz w:val="22"/>
          <w:szCs w:val="22"/>
        </w:rPr>
        <w:t>Safeguarding Children</w:t>
      </w:r>
    </w:p>
    <w:p w14:paraId="41ED1E41" w14:textId="77777777" w:rsidR="00242E36" w:rsidRPr="00F770EA" w:rsidRDefault="00242E36" w:rsidP="00242E36">
      <w:pPr>
        <w:pStyle w:val="BodyText"/>
        <w:ind w:right="983"/>
        <w:jc w:val="both"/>
        <w:rPr>
          <w:rFonts w:cs="Arial"/>
          <w:sz w:val="22"/>
          <w:szCs w:val="22"/>
        </w:rPr>
      </w:pPr>
      <w:r w:rsidRPr="00F770EA">
        <w:rPr>
          <w:rFonts w:cs="Arial"/>
          <w:sz w:val="22"/>
          <w:szCs w:val="22"/>
        </w:rPr>
        <w:t>Serenity School is committed to safeguarding and promoting the welfare of children and young people and expects all staff and volunteers to share this commitment and uphold all relevant procedures.</w:t>
      </w:r>
    </w:p>
    <w:p w14:paraId="720EF21E" w14:textId="6F734C14" w:rsidR="0028287E" w:rsidRPr="00E94174" w:rsidRDefault="0028287E" w:rsidP="00E94174">
      <w:pPr>
        <w:jc w:val="both"/>
        <w:rPr>
          <w:rFonts w:ascii="Arial" w:hAnsi="Arial" w:cs="Arial"/>
          <w:sz w:val="22"/>
          <w:szCs w:val="22"/>
        </w:rPr>
      </w:pPr>
    </w:p>
    <w:p w14:paraId="26E94367" w14:textId="062282CB" w:rsidR="007D0A43" w:rsidRPr="00E94174" w:rsidRDefault="007D0A43" w:rsidP="00E94174">
      <w:pPr>
        <w:jc w:val="both"/>
        <w:rPr>
          <w:rFonts w:ascii="Arial" w:hAnsi="Arial" w:cs="Arial"/>
          <w:sz w:val="22"/>
          <w:szCs w:val="22"/>
        </w:rPr>
      </w:pPr>
    </w:p>
    <w:sectPr w:rsidR="007D0A43" w:rsidRPr="00E94174" w:rsidSect="00E941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6A4"/>
    <w:multiLevelType w:val="multilevel"/>
    <w:tmpl w:val="9F6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771FA"/>
    <w:multiLevelType w:val="multilevel"/>
    <w:tmpl w:val="9F7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E5233"/>
    <w:multiLevelType w:val="multilevel"/>
    <w:tmpl w:val="52F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F2EE4"/>
    <w:multiLevelType w:val="multilevel"/>
    <w:tmpl w:val="4310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6011D"/>
    <w:multiLevelType w:val="multilevel"/>
    <w:tmpl w:val="E766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867E2"/>
    <w:multiLevelType w:val="multilevel"/>
    <w:tmpl w:val="34D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142F1"/>
    <w:multiLevelType w:val="multilevel"/>
    <w:tmpl w:val="9EE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954988">
    <w:abstractNumId w:val="0"/>
  </w:num>
  <w:num w:numId="2" w16cid:durableId="492647981">
    <w:abstractNumId w:val="6"/>
  </w:num>
  <w:num w:numId="3" w16cid:durableId="569658043">
    <w:abstractNumId w:val="3"/>
  </w:num>
  <w:num w:numId="4" w16cid:durableId="2127651243">
    <w:abstractNumId w:val="4"/>
  </w:num>
  <w:num w:numId="5" w16cid:durableId="1988893000">
    <w:abstractNumId w:val="2"/>
  </w:num>
  <w:num w:numId="6" w16cid:durableId="515778660">
    <w:abstractNumId w:val="1"/>
  </w:num>
  <w:num w:numId="7" w16cid:durableId="2071615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45"/>
    <w:rsid w:val="00242E36"/>
    <w:rsid w:val="0028287E"/>
    <w:rsid w:val="005F23CD"/>
    <w:rsid w:val="007D0A43"/>
    <w:rsid w:val="008F2548"/>
    <w:rsid w:val="00C17CA2"/>
    <w:rsid w:val="00E25845"/>
    <w:rsid w:val="00E94174"/>
    <w:rsid w:val="00FF03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B6A8"/>
  <w15:chartTrackingRefBased/>
  <w15:docId w15:val="{C0F369E6-840A-4B21-8170-4E86B744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845"/>
    <w:rPr>
      <w:rFonts w:eastAsiaTheme="majorEastAsia" w:cstheme="majorBidi"/>
      <w:color w:val="272727" w:themeColor="text1" w:themeTint="D8"/>
    </w:rPr>
  </w:style>
  <w:style w:type="paragraph" w:styleId="Title">
    <w:name w:val="Title"/>
    <w:basedOn w:val="Normal"/>
    <w:next w:val="Normal"/>
    <w:link w:val="TitleChar"/>
    <w:uiPriority w:val="10"/>
    <w:qFormat/>
    <w:rsid w:val="00E25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845"/>
    <w:pPr>
      <w:spacing w:before="160"/>
      <w:jc w:val="center"/>
    </w:pPr>
    <w:rPr>
      <w:i/>
      <w:iCs/>
      <w:color w:val="404040" w:themeColor="text1" w:themeTint="BF"/>
    </w:rPr>
  </w:style>
  <w:style w:type="character" w:customStyle="1" w:styleId="QuoteChar">
    <w:name w:val="Quote Char"/>
    <w:basedOn w:val="DefaultParagraphFont"/>
    <w:link w:val="Quote"/>
    <w:uiPriority w:val="29"/>
    <w:rsid w:val="00E25845"/>
    <w:rPr>
      <w:i/>
      <w:iCs/>
      <w:color w:val="404040" w:themeColor="text1" w:themeTint="BF"/>
    </w:rPr>
  </w:style>
  <w:style w:type="paragraph" w:styleId="ListParagraph">
    <w:name w:val="List Paragraph"/>
    <w:basedOn w:val="Normal"/>
    <w:uiPriority w:val="34"/>
    <w:qFormat/>
    <w:rsid w:val="00E25845"/>
    <w:pPr>
      <w:ind w:left="720"/>
      <w:contextualSpacing/>
    </w:pPr>
  </w:style>
  <w:style w:type="character" w:styleId="IntenseEmphasis">
    <w:name w:val="Intense Emphasis"/>
    <w:basedOn w:val="DefaultParagraphFont"/>
    <w:uiPriority w:val="21"/>
    <w:qFormat/>
    <w:rsid w:val="00E25845"/>
    <w:rPr>
      <w:i/>
      <w:iCs/>
      <w:color w:val="0F4761" w:themeColor="accent1" w:themeShade="BF"/>
    </w:rPr>
  </w:style>
  <w:style w:type="paragraph" w:styleId="IntenseQuote">
    <w:name w:val="Intense Quote"/>
    <w:basedOn w:val="Normal"/>
    <w:next w:val="Normal"/>
    <w:link w:val="IntenseQuoteChar"/>
    <w:uiPriority w:val="30"/>
    <w:qFormat/>
    <w:rsid w:val="00E2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845"/>
    <w:rPr>
      <w:i/>
      <w:iCs/>
      <w:color w:val="0F4761" w:themeColor="accent1" w:themeShade="BF"/>
    </w:rPr>
  </w:style>
  <w:style w:type="character" w:styleId="IntenseReference">
    <w:name w:val="Intense Reference"/>
    <w:basedOn w:val="DefaultParagraphFont"/>
    <w:uiPriority w:val="32"/>
    <w:qFormat/>
    <w:rsid w:val="00E25845"/>
    <w:rPr>
      <w:b/>
      <w:bCs/>
      <w:smallCaps/>
      <w:color w:val="0F4761" w:themeColor="accent1" w:themeShade="BF"/>
      <w:spacing w:val="5"/>
    </w:rPr>
  </w:style>
  <w:style w:type="paragraph" w:customStyle="1" w:styleId="Text">
    <w:name w:val="Text"/>
    <w:basedOn w:val="BodyText"/>
    <w:link w:val="TextChar"/>
    <w:qFormat/>
    <w:rsid w:val="00E94174"/>
    <w:rPr>
      <w:rFonts w:cs="Arial"/>
      <w:szCs w:val="20"/>
    </w:rPr>
  </w:style>
  <w:style w:type="character" w:customStyle="1" w:styleId="TextChar">
    <w:name w:val="Text Char"/>
    <w:link w:val="Text"/>
    <w:rsid w:val="00E94174"/>
    <w:rPr>
      <w:rFonts w:ascii="Arial" w:eastAsia="MS Mincho" w:hAnsi="Arial" w:cs="Arial"/>
      <w:kern w:val="0"/>
      <w:sz w:val="20"/>
      <w:szCs w:val="20"/>
      <w14:ligatures w14:val="none"/>
    </w:rPr>
  </w:style>
  <w:style w:type="paragraph" w:styleId="BodyText">
    <w:name w:val="Body Text"/>
    <w:basedOn w:val="Normal"/>
    <w:link w:val="BodyTextChar"/>
    <w:uiPriority w:val="99"/>
    <w:semiHidden/>
    <w:unhideWhenUsed/>
    <w:rsid w:val="00E94174"/>
    <w:pPr>
      <w:spacing w:after="120" w:line="240" w:lineRule="auto"/>
    </w:pPr>
    <w:rPr>
      <w:rFonts w:ascii="Arial" w:eastAsia="MS Mincho" w:hAnsi="Arial" w:cs="Times New Roman"/>
      <w:kern w:val="0"/>
      <w:sz w:val="20"/>
      <w14:ligatures w14:val="none"/>
    </w:rPr>
  </w:style>
  <w:style w:type="character" w:customStyle="1" w:styleId="BodyTextChar">
    <w:name w:val="Body Text Char"/>
    <w:basedOn w:val="DefaultParagraphFont"/>
    <w:link w:val="BodyText"/>
    <w:uiPriority w:val="99"/>
    <w:semiHidden/>
    <w:rsid w:val="00E94174"/>
    <w:rPr>
      <w:rFonts w:ascii="Arial" w:eastAsia="MS Mincho" w:hAnsi="Arial" w:cs="Times New Roman"/>
      <w:kern w:val="0"/>
      <w:sz w:val="20"/>
      <w14:ligatures w14:val="none"/>
    </w:rPr>
  </w:style>
  <w:style w:type="paragraph" w:customStyle="1" w:styleId="Sub-heading">
    <w:name w:val="Sub-heading"/>
    <w:basedOn w:val="BodyText"/>
    <w:link w:val="Sub-headingChar"/>
    <w:qFormat/>
    <w:rsid w:val="00E94174"/>
    <w:rPr>
      <w:rFonts w:cs="Arial"/>
      <w:b/>
      <w:szCs w:val="20"/>
    </w:rPr>
  </w:style>
  <w:style w:type="character" w:customStyle="1" w:styleId="Sub-headingChar">
    <w:name w:val="Sub-heading Char"/>
    <w:link w:val="Sub-heading"/>
    <w:rsid w:val="00E94174"/>
    <w:rPr>
      <w:rFonts w:ascii="Arial" w:eastAsia="MS Mincho" w:hAnsi="Arial" w:cs="Arial"/>
      <w:b/>
      <w:kern w:val="0"/>
      <w:sz w:val="20"/>
      <w:szCs w:val="20"/>
      <w14:ligatures w14:val="none"/>
    </w:rPr>
  </w:style>
  <w:style w:type="paragraph" w:customStyle="1" w:styleId="1bodycopy10pt">
    <w:name w:val="1 body copy 10pt"/>
    <w:basedOn w:val="Normal"/>
    <w:link w:val="1bodycopy10ptChar"/>
    <w:qFormat/>
    <w:rsid w:val="00E94174"/>
    <w:pPr>
      <w:spacing w:after="120" w:line="240" w:lineRule="auto"/>
    </w:pPr>
    <w:rPr>
      <w:rFonts w:ascii="Arial" w:eastAsia="MS Mincho" w:hAnsi="Arial" w:cs="Times New Roman"/>
      <w:kern w:val="0"/>
      <w:sz w:val="20"/>
      <w14:ligatures w14:val="none"/>
    </w:rPr>
  </w:style>
  <w:style w:type="character" w:customStyle="1" w:styleId="1bodycopy10ptChar">
    <w:name w:val="1 body copy 10pt Char"/>
    <w:link w:val="1bodycopy10pt"/>
    <w:rsid w:val="00E94174"/>
    <w:rPr>
      <w:rFonts w:ascii="Arial" w:eastAsia="MS Mincho"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41714">
      <w:bodyDiv w:val="1"/>
      <w:marLeft w:val="0"/>
      <w:marRight w:val="0"/>
      <w:marTop w:val="0"/>
      <w:marBottom w:val="0"/>
      <w:divBdr>
        <w:top w:val="none" w:sz="0" w:space="0" w:color="auto"/>
        <w:left w:val="none" w:sz="0" w:space="0" w:color="auto"/>
        <w:bottom w:val="none" w:sz="0" w:space="0" w:color="auto"/>
        <w:right w:val="none" w:sz="0" w:space="0" w:color="auto"/>
      </w:divBdr>
      <w:divsChild>
        <w:div w:id="2108501762">
          <w:marLeft w:val="0"/>
          <w:marRight w:val="0"/>
          <w:marTop w:val="0"/>
          <w:marBottom w:val="0"/>
          <w:divBdr>
            <w:top w:val="none" w:sz="0" w:space="0" w:color="auto"/>
            <w:left w:val="none" w:sz="0" w:space="0" w:color="auto"/>
            <w:bottom w:val="none" w:sz="0" w:space="0" w:color="auto"/>
            <w:right w:val="none" w:sz="0" w:space="0" w:color="auto"/>
          </w:divBdr>
        </w:div>
        <w:div w:id="2126466183">
          <w:marLeft w:val="0"/>
          <w:marRight w:val="0"/>
          <w:marTop w:val="0"/>
          <w:marBottom w:val="0"/>
          <w:divBdr>
            <w:top w:val="none" w:sz="0" w:space="0" w:color="auto"/>
            <w:left w:val="none" w:sz="0" w:space="0" w:color="auto"/>
            <w:bottom w:val="none" w:sz="0" w:space="0" w:color="auto"/>
            <w:right w:val="none" w:sz="0" w:space="0" w:color="auto"/>
          </w:divBdr>
        </w:div>
        <w:div w:id="737241426">
          <w:marLeft w:val="0"/>
          <w:marRight w:val="0"/>
          <w:marTop w:val="0"/>
          <w:marBottom w:val="0"/>
          <w:divBdr>
            <w:top w:val="none" w:sz="0" w:space="0" w:color="auto"/>
            <w:left w:val="none" w:sz="0" w:space="0" w:color="auto"/>
            <w:bottom w:val="none" w:sz="0" w:space="0" w:color="auto"/>
            <w:right w:val="none" w:sz="0" w:space="0" w:color="auto"/>
          </w:divBdr>
        </w:div>
        <w:div w:id="1224875266">
          <w:marLeft w:val="0"/>
          <w:marRight w:val="0"/>
          <w:marTop w:val="0"/>
          <w:marBottom w:val="0"/>
          <w:divBdr>
            <w:top w:val="none" w:sz="0" w:space="0" w:color="auto"/>
            <w:left w:val="none" w:sz="0" w:space="0" w:color="auto"/>
            <w:bottom w:val="none" w:sz="0" w:space="0" w:color="auto"/>
            <w:right w:val="none" w:sz="0" w:space="0" w:color="auto"/>
          </w:divBdr>
        </w:div>
      </w:divsChild>
    </w:div>
    <w:div w:id="1934971026">
      <w:bodyDiv w:val="1"/>
      <w:marLeft w:val="0"/>
      <w:marRight w:val="0"/>
      <w:marTop w:val="0"/>
      <w:marBottom w:val="0"/>
      <w:divBdr>
        <w:top w:val="none" w:sz="0" w:space="0" w:color="auto"/>
        <w:left w:val="none" w:sz="0" w:space="0" w:color="auto"/>
        <w:bottom w:val="none" w:sz="0" w:space="0" w:color="auto"/>
        <w:right w:val="none" w:sz="0" w:space="0" w:color="auto"/>
      </w:divBdr>
      <w:divsChild>
        <w:div w:id="621352126">
          <w:marLeft w:val="0"/>
          <w:marRight w:val="0"/>
          <w:marTop w:val="0"/>
          <w:marBottom w:val="0"/>
          <w:divBdr>
            <w:top w:val="none" w:sz="0" w:space="0" w:color="auto"/>
            <w:left w:val="none" w:sz="0" w:space="0" w:color="auto"/>
            <w:bottom w:val="none" w:sz="0" w:space="0" w:color="auto"/>
            <w:right w:val="none" w:sz="0" w:space="0" w:color="auto"/>
          </w:divBdr>
        </w:div>
        <w:div w:id="1317758341">
          <w:marLeft w:val="0"/>
          <w:marRight w:val="0"/>
          <w:marTop w:val="0"/>
          <w:marBottom w:val="0"/>
          <w:divBdr>
            <w:top w:val="none" w:sz="0" w:space="0" w:color="auto"/>
            <w:left w:val="none" w:sz="0" w:space="0" w:color="auto"/>
            <w:bottom w:val="none" w:sz="0" w:space="0" w:color="auto"/>
            <w:right w:val="none" w:sz="0" w:space="0" w:color="auto"/>
          </w:divBdr>
        </w:div>
        <w:div w:id="1205630398">
          <w:marLeft w:val="0"/>
          <w:marRight w:val="0"/>
          <w:marTop w:val="0"/>
          <w:marBottom w:val="0"/>
          <w:divBdr>
            <w:top w:val="none" w:sz="0" w:space="0" w:color="auto"/>
            <w:left w:val="none" w:sz="0" w:space="0" w:color="auto"/>
            <w:bottom w:val="none" w:sz="0" w:space="0" w:color="auto"/>
            <w:right w:val="none" w:sz="0" w:space="0" w:color="auto"/>
          </w:divBdr>
        </w:div>
        <w:div w:id="71762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Ayisi</dc:creator>
  <cp:keywords/>
  <dc:description/>
  <cp:lastModifiedBy>HR</cp:lastModifiedBy>
  <cp:revision>3</cp:revision>
  <dcterms:created xsi:type="dcterms:W3CDTF">2025-05-06T15:50:00Z</dcterms:created>
  <dcterms:modified xsi:type="dcterms:W3CDTF">2025-05-06T16:38:00Z</dcterms:modified>
</cp:coreProperties>
</file>