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79" w:rsidRDefault="00AB2479"/>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rsidP="006271A1">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r w:rsidR="00DA7EFC">
              <w:rPr>
                <w:rFonts w:ascii="Arial" w:hAnsi="Arial" w:cs="Arial"/>
                <w:sz w:val="22"/>
                <w:szCs w:val="22"/>
              </w:rPr>
              <w:t xml:space="preserve"> </w:t>
            </w:r>
            <w:r w:rsidR="00B058A5">
              <w:rPr>
                <w:rFonts w:ascii="Arial" w:hAnsi="Arial" w:cs="Arial"/>
                <w:sz w:val="22"/>
                <w:szCs w:val="22"/>
              </w:rPr>
              <w:t xml:space="preserve">of </w:t>
            </w:r>
            <w:r w:rsidR="006271A1">
              <w:rPr>
                <w:rFonts w:ascii="Arial" w:hAnsi="Arial" w:cs="Arial"/>
                <w:sz w:val="22"/>
                <w:szCs w:val="22"/>
              </w:rPr>
              <w:t>ICT and Computer Science</w:t>
            </w:r>
            <w:bookmarkStart w:id="0" w:name="_GoBack"/>
            <w:bookmarkEnd w:id="0"/>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lastRenderedPageBreak/>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Use a range of behaviour management techniques and strategies adapting them as necessary to promote </w:t>
      </w:r>
      <w:r w:rsidR="004A2C72" w:rsidRPr="00FC3220">
        <w:rPr>
          <w:rFonts w:ascii="Arial" w:hAnsi="Arial" w:cs="Arial"/>
          <w:bCs/>
          <w:sz w:val="22"/>
        </w:rPr>
        <w:t>self-control</w:t>
      </w:r>
      <w:r w:rsidRPr="00FC3220">
        <w:rPr>
          <w:rFonts w:ascii="Arial" w:hAnsi="Arial" w:cs="Arial"/>
          <w:bCs/>
          <w:sz w:val="22"/>
        </w:rPr>
        <w:t xml:space="preserve">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lastRenderedPageBreak/>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8"/>
      <w:footerReference w:type="default" r:id="rId9"/>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6271A1">
      <w:rPr>
        <w:rFonts w:ascii="Arial" w:hAnsi="Arial" w:cs="Arial"/>
        <w:noProof/>
        <w:color w:val="000080"/>
        <w:sz w:val="16"/>
        <w:lang w:val="en-US"/>
      </w:rPr>
      <w:t>1</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hdrShapeDefaults>
    <o:shapedefaults v:ext="edit" spidmax="41985"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4A2C72"/>
    <w:rsid w:val="004D1ED0"/>
    <w:rsid w:val="00527353"/>
    <w:rsid w:val="0054397B"/>
    <w:rsid w:val="006113A8"/>
    <w:rsid w:val="006271A1"/>
    <w:rsid w:val="00631994"/>
    <w:rsid w:val="006552D9"/>
    <w:rsid w:val="00763743"/>
    <w:rsid w:val="007E329A"/>
    <w:rsid w:val="007E5694"/>
    <w:rsid w:val="007F0599"/>
    <w:rsid w:val="00884FAE"/>
    <w:rsid w:val="008B17E3"/>
    <w:rsid w:val="008E0F80"/>
    <w:rsid w:val="008E69DC"/>
    <w:rsid w:val="00924AD3"/>
    <w:rsid w:val="00941D8C"/>
    <w:rsid w:val="00A576EB"/>
    <w:rsid w:val="00AB2479"/>
    <w:rsid w:val="00AD2EEF"/>
    <w:rsid w:val="00B0248F"/>
    <w:rsid w:val="00B058A5"/>
    <w:rsid w:val="00B078A8"/>
    <w:rsid w:val="00B17D31"/>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9cf" stroke="f">
      <v:fill color="#9cf" opacity=".5"/>
      <v:stroke on="f"/>
      <v:shadow on="t" color="silver" offset="3pt"/>
    </o:shapedefaults>
    <o:shapelayout v:ext="edit">
      <o:idmap v:ext="edit" data="1"/>
    </o:shapelayout>
  </w:shapeDefaults>
  <w:decimalSymbol w:val="."/>
  <w:listSeparator w:val=","/>
  <w14:docId w14:val="0752F2C4"/>
  <w15:docId w15:val="{E82B0F3B-412A-4D76-9389-F45FF651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2B09-0032-4008-886D-AC47B25B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973F56C1</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Mr Rewt</cp:lastModifiedBy>
  <cp:revision>3</cp:revision>
  <cp:lastPrinted>2012-05-02T09:27:00Z</cp:lastPrinted>
  <dcterms:created xsi:type="dcterms:W3CDTF">2018-05-02T09:00:00Z</dcterms:created>
  <dcterms:modified xsi:type="dcterms:W3CDTF">2018-12-07T13:42:00Z</dcterms:modified>
</cp:coreProperties>
</file>