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Arial" w:cs="Arial" w:eastAsia="Arial" w:hAnsi="Arial"/>
          <w:b w:val="1"/>
          <w:sz w:val="24"/>
          <w:szCs w:val="24"/>
        </w:rPr>
      </w:pPr>
      <w:r w:rsidDel="00000000" w:rsidR="00000000" w:rsidRPr="00000000">
        <w:rPr>
          <w:sz w:val="24"/>
          <w:szCs w:val="24"/>
          <w:rtl w:val="0"/>
        </w:rPr>
        <w:t xml:space="preserve">TRING SCHOOL</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rFonts w:ascii="Arial" w:cs="Arial" w:eastAsia="Arial" w:hAnsi="Arial"/>
          <w:b w:val="1"/>
          <w:i w:val="0"/>
          <w:color w:val="000000"/>
          <w:sz w:val="24"/>
          <w:szCs w:val="24"/>
        </w:rPr>
      </w:pPr>
      <w:r w:rsidDel="00000000" w:rsidR="00000000" w:rsidRPr="00000000">
        <w:rPr>
          <w:i w:val="0"/>
          <w:color w:val="000000"/>
          <w:sz w:val="24"/>
          <w:szCs w:val="24"/>
          <w:rtl w:val="0"/>
        </w:rPr>
        <w:t xml:space="preserve">MATHS DEPARTMENT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sz w:val="22"/>
          <w:szCs w:val="22"/>
        </w:rPr>
      </w:pPr>
      <w:r w:rsidDel="00000000" w:rsidR="00000000" w:rsidRPr="00000000">
        <w:rPr>
          <w:sz w:val="22"/>
          <w:szCs w:val="22"/>
          <w:rtl w:val="0"/>
        </w:rPr>
        <w:t xml:space="preserve">STAFFING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department consists of </w:t>
      </w:r>
      <w:r w:rsidDel="00000000" w:rsidR="00000000" w:rsidRPr="00000000">
        <w:rPr>
          <w:rFonts w:ascii="Arial" w:cs="Arial" w:eastAsia="Arial" w:hAnsi="Arial"/>
          <w:sz w:val="22"/>
          <w:szCs w:val="22"/>
          <w:rtl w:val="0"/>
        </w:rPr>
        <w:t xml:space="preserve">eleven</w:t>
      </w:r>
      <w:r w:rsidDel="00000000" w:rsidR="00000000" w:rsidRPr="00000000">
        <w:rPr>
          <w:rFonts w:ascii="Arial" w:cs="Arial" w:eastAsia="Arial" w:hAnsi="Arial"/>
          <w:b w:val="0"/>
          <w:sz w:val="22"/>
          <w:szCs w:val="22"/>
          <w:rtl w:val="0"/>
        </w:rPr>
        <w:t xml:space="preserve"> Maths specialists, </w:t>
      </w:r>
      <w:r w:rsidDel="00000000" w:rsidR="00000000" w:rsidRPr="00000000">
        <w:rPr>
          <w:rFonts w:ascii="Arial" w:cs="Arial" w:eastAsia="Arial" w:hAnsi="Arial"/>
          <w:sz w:val="22"/>
          <w:szCs w:val="22"/>
          <w:rtl w:val="0"/>
        </w:rPr>
        <w:t xml:space="preserve">three specialist Maths TAs, and</w:t>
      </w:r>
      <w:r w:rsidDel="00000000" w:rsidR="00000000" w:rsidRPr="00000000">
        <w:rPr>
          <w:rFonts w:ascii="Arial" w:cs="Arial" w:eastAsia="Arial" w:hAnsi="Arial"/>
          <w:b w:val="0"/>
          <w:sz w:val="22"/>
          <w:szCs w:val="22"/>
          <w:rtl w:val="0"/>
        </w:rPr>
        <w:t xml:space="preserve"> an administration assistant. We deliver the Maths curriculum across Key Stages 3, 4 and 5.</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are a forward-thinking department that continually research, explore, and discuss approaches to teaching and learning in Maths. We work collaboratively and share resources across the department, and have a very strong reputation in integrating new members of staff into our department. We greatly value new ideas and experiences.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Fonts w:ascii="Arial" w:cs="Arial" w:eastAsia="Arial" w:hAnsi="Arial"/>
          <w:sz w:val="22"/>
          <w:szCs w:val="22"/>
          <w:rtl w:val="0"/>
        </w:rPr>
        <w:t xml:space="preserve">The Subject Leader has overall responsibility for the quality of teaching and learning across the whole of the department, and is strongly supported by members of the team holding positions of responsibility. In addition, we have several developmental roles available each year. These roles allow different members of the team to take on additional responsibility in a particular area that supports the department.</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Style w:val="Heading3"/>
        <w:pBdr>
          <w:top w:space="0" w:sz="0" w:val="nil"/>
          <w:left w:space="0" w:sz="0" w:val="nil"/>
          <w:bottom w:space="0" w:sz="0" w:val="nil"/>
          <w:right w:space="0" w:sz="0" w:val="nil"/>
          <w:between w:space="0" w:sz="0" w:val="nil"/>
        </w:pBdr>
        <w:shd w:fill="auto" w:val="clea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MATHS TEACHING FACILITIES</w:t>
      </w:r>
      <w:r w:rsidDel="00000000" w:rsidR="00000000" w:rsidRPr="00000000">
        <w:rPr>
          <w:rtl w:val="0"/>
        </w:rPr>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rPr>
      </w:pPr>
      <w:r w:rsidDel="00000000" w:rsidR="00000000" w:rsidRPr="00000000">
        <w:rPr>
          <w:b w:val="0"/>
          <w:sz w:val="22"/>
          <w:szCs w:val="22"/>
          <w:rtl w:val="0"/>
        </w:rPr>
        <w:t xml:space="preserve">The Maths Department benefits from a suite of rooms where specialists teach. The suite is equipped with projectors and all staff have their own laptop. </w:t>
      </w:r>
      <w:r w:rsidDel="00000000" w:rsidR="00000000" w:rsidRPr="00000000">
        <w:rPr>
          <w:rtl w:val="0"/>
        </w:rPr>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rPr>
      </w:pPr>
      <w:r w:rsidDel="00000000" w:rsidR="00000000" w:rsidRPr="00000000">
        <w:rPr>
          <w:b w:val="0"/>
          <w:sz w:val="22"/>
          <w:szCs w:val="22"/>
          <w:rtl w:val="0"/>
        </w:rPr>
        <w:t xml:space="preserve">Adjacent to the classrooms is a central Maths Office, where all members of the team have their own desk for staff use.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rtl w:val="0"/>
        </w:rPr>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sz w:val="22"/>
          <w:szCs w:val="22"/>
        </w:rPr>
      </w:pPr>
      <w:r w:rsidDel="00000000" w:rsidR="00000000" w:rsidRPr="00000000">
        <w:rPr>
          <w:sz w:val="22"/>
          <w:szCs w:val="22"/>
          <w:rtl w:val="0"/>
        </w:rPr>
        <w:t xml:space="preserve">CURRICULUM</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have recently redesigned our KS3 schemes of learning to reflect the greater challenge incorporated into the new GCSE.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have adopted a mastery scheme of learning for Year 7 and Year 8. Our department have received mastery training from a local high achieving school, and we have an NCETM accredited mastery specialist within the department. Our long term plan is to support our local feeder primaries in establishing a mastery approach when teaching mathematics. The aim of mastery is to establish a deep understanding of mathematics before moving on to new concepts. In Year 7 and 8 we have also been part of the ICCAMS project, which is a nationwide project on developing algebraic and multiplicative skills organised by several universities.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 Key Stage 4 we have prepared for the changes to the GCSE through creating a new scheme of learning that challenges all pupils. We have embedded resources that encourage students to consider the application of the topics they have learnt.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Our GCSE results are very strong, and we are one of the most popular A Level subjects. We also offer A Level Further Maths, and again this is a popular choice. We seek to include as many members of the team in our teaching of A Level as possible.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000000"/>
          <w:sz w:val="22"/>
          <w:szCs w:val="22"/>
        </w:rPr>
      </w:pPr>
      <w:bookmarkStart w:colFirst="0" w:colLast="0" w:name="_gjdgxs" w:id="0"/>
      <w:bookmarkEnd w:id="0"/>
      <w:r w:rsidDel="00000000" w:rsidR="00000000" w:rsidRPr="00000000">
        <w:rPr>
          <w:rFonts w:ascii="Arial" w:cs="Arial" w:eastAsia="Arial" w:hAnsi="Arial"/>
          <w:b w:val="1"/>
          <w:color w:val="000000"/>
          <w:sz w:val="22"/>
          <w:szCs w:val="22"/>
          <w:rtl w:val="0"/>
        </w:rPr>
        <w:t xml:space="preserve">FUTURE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department is forward looking and continuously seeking new resources and strategies to improve the quality of both learning and teaching. We have high standards for ourselves and students; teaching and learning is tailored to meet individual needs and all our students aspire to achieve excellent results.  </w:t>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22">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Arial" w:cs="Arial" w:eastAsia="Arial" w:hAnsi="Arial"/>
          <w:sz w:val="23"/>
          <w:szCs w:val="23"/>
        </w:rPr>
      </w:pPr>
      <w:r w:rsidDel="00000000" w:rsidR="00000000" w:rsidRPr="00000000">
        <w:rPr>
          <w:rtl w:val="0"/>
        </w:rPr>
      </w:r>
    </w:p>
    <w:sectPr>
      <w:pgSz w:h="16838" w:w="11906"/>
      <w:pgMar w:bottom="284"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1"/>
      <w:sz w:val="32"/>
      <w:szCs w:val="32"/>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32"/>
      <w:szCs w:val="32"/>
    </w:rPr>
  </w:style>
  <w:style w:type="paragraph" w:styleId="Subtitle">
    <w:name w:val="Subtitle"/>
    <w:basedOn w:val="Normal"/>
    <w:next w:val="Normal"/>
    <w:pPr>
      <w:keepNext w:val="1"/>
      <w:keepLines w:val="1"/>
      <w:spacing w:after="0" w:before="0" w:line="240" w:lineRule="auto"/>
      <w:jc w:val="center"/>
    </w:pPr>
    <w:rPr>
      <w:rFonts w:ascii="Arial" w:cs="Arial" w:eastAsia="Arial" w:hAnsi="Arial"/>
      <w:b w:val="1"/>
      <w:i w:val="1"/>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