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977" w:leader="none"/>
        </w:tabs>
        <w:jc w:val="center"/>
        <w:rPr>
          <w:sz w:val="28"/>
          <w:b/>
          <w:sz w:val="28"/>
          <w:b/>
          <w:szCs w:val="28"/>
          <w:rFonts w:cs="Arial"/>
        </w:rPr>
      </w:pPr>
      <w:r>
        <w:rPr>
          <w:rFonts w:cs="Arial"/>
          <w:b/>
          <w:sz w:val="28"/>
          <w:szCs w:val="28"/>
        </w:rPr>
        <w:t>JOB DESCRIPTION</w:t>
      </w:r>
      <w:r/>
    </w:p>
    <w:p>
      <w:pPr>
        <w:pStyle w:val="Normal"/>
        <w:tabs>
          <w:tab w:val="left" w:pos="2977" w:leader="none"/>
        </w:tabs>
        <w:jc w:val="center"/>
        <w:rPr>
          <w:b/>
          <w:b/>
          <w:rFonts w:cs="Arial"/>
        </w:rPr>
      </w:pPr>
      <w:r>
        <w:rPr>
          <w:rFonts w:cs="Arial"/>
          <w:b/>
        </w:rPr>
      </w:r>
      <w:r/>
    </w:p>
    <w:tbl>
      <w:tblPr>
        <w:tblStyle w:val="TableGrid"/>
        <w:tblW w:w="10194" w:type="dxa"/>
        <w:jc w:val="left"/>
        <w:tblInd w:w="0" w:type="dxa"/>
        <w:tblBorders/>
        <w:tblCellMar>
          <w:top w:w="0" w:type="dxa"/>
          <w:left w:w="108" w:type="dxa"/>
          <w:bottom w:w="0" w:type="dxa"/>
          <w:right w:w="108" w:type="dxa"/>
        </w:tblCellMar>
      </w:tblPr>
      <w:tblGrid>
        <w:gridCol w:w="1837"/>
        <w:gridCol w:w="3259"/>
        <w:gridCol w:w="1986"/>
        <w:gridCol w:w="3111"/>
      </w:tblGrid>
      <w:tr>
        <w:trPr>
          <w:trHeight w:val="703" w:hRule="atLeast"/>
        </w:trPr>
        <w:tc>
          <w:tcPr>
            <w:tcW w:w="1837" w:type="dxa"/>
            <w:tcBorders/>
            <w:shd w:color="auto" w:fill="BFBFBF" w:themeFill="background1" w:themeFillShade="bf" w:val="clear"/>
            <w:tcMar>
              <w:left w:w="108" w:type="dxa"/>
            </w:tcMar>
            <w:vAlign w:val="center"/>
          </w:tcPr>
          <w:p>
            <w:pPr>
              <w:pStyle w:val="Normal"/>
              <w:tabs>
                <w:tab w:val="left" w:pos="2977" w:leader="none"/>
              </w:tabs>
              <w:rPr>
                <w:b/>
                <w:b/>
                <w:rFonts w:cs="Arial"/>
              </w:rPr>
            </w:pPr>
            <w:r>
              <w:rPr>
                <w:rFonts w:cs="Arial"/>
                <w:b/>
              </w:rPr>
              <w:t>Job Title:</w:t>
            </w:r>
            <w:r/>
          </w:p>
        </w:tc>
        <w:tc>
          <w:tcPr>
            <w:tcW w:w="3259" w:type="dxa"/>
            <w:tcBorders/>
            <w:shd w:fill="auto" w:val="clear"/>
            <w:tcMar>
              <w:left w:w="108" w:type="dxa"/>
            </w:tcMar>
            <w:vAlign w:val="center"/>
          </w:tcPr>
          <w:p>
            <w:pPr>
              <w:pStyle w:val="Normal"/>
              <w:tabs>
                <w:tab w:val="left" w:pos="2977" w:leader="none"/>
              </w:tabs>
              <w:rPr>
                <w:rFonts w:cs="Arial"/>
              </w:rPr>
            </w:pPr>
            <w:r>
              <w:rPr>
                <w:rFonts w:cs="Arial"/>
              </w:rPr>
              <w:t>Co-ordinator of Instrumental Music</w:t>
            </w:r>
            <w:r/>
          </w:p>
        </w:tc>
        <w:tc>
          <w:tcPr>
            <w:tcW w:w="1986" w:type="dxa"/>
            <w:tcBorders/>
            <w:shd w:color="auto" w:fill="BFBFBF" w:themeFill="background1" w:themeFillShade="bf" w:val="clear"/>
            <w:tcMar>
              <w:left w:w="108" w:type="dxa"/>
            </w:tcMar>
            <w:vAlign w:val="center"/>
          </w:tcPr>
          <w:p>
            <w:pPr>
              <w:pStyle w:val="Normal"/>
              <w:tabs>
                <w:tab w:val="left" w:pos="2977" w:leader="none"/>
              </w:tabs>
              <w:rPr>
                <w:b/>
                <w:b/>
                <w:rFonts w:cs="Arial"/>
              </w:rPr>
            </w:pPr>
            <w:r>
              <w:rPr>
                <w:rFonts w:cs="Arial"/>
                <w:b/>
              </w:rPr>
              <w:t>Department:</w:t>
            </w:r>
            <w:r/>
          </w:p>
        </w:tc>
        <w:tc>
          <w:tcPr>
            <w:tcW w:w="3111" w:type="dxa"/>
            <w:tcBorders/>
            <w:shd w:fill="auto" w:val="clear"/>
            <w:tcMar>
              <w:left w:w="108" w:type="dxa"/>
            </w:tcMar>
            <w:vAlign w:val="center"/>
          </w:tcPr>
          <w:p>
            <w:pPr>
              <w:pStyle w:val="Normal"/>
              <w:tabs>
                <w:tab w:val="left" w:pos="2977" w:leader="none"/>
              </w:tabs>
              <w:rPr>
                <w:rFonts w:cs="Arial"/>
              </w:rPr>
            </w:pPr>
            <w:r>
              <w:rPr>
                <w:rFonts w:cs="Arial"/>
              </w:rPr>
              <w:t>Music</w:t>
            </w:r>
            <w:r/>
          </w:p>
        </w:tc>
      </w:tr>
      <w:tr>
        <w:trPr>
          <w:trHeight w:val="703" w:hRule="atLeast"/>
        </w:trPr>
        <w:tc>
          <w:tcPr>
            <w:tcW w:w="1837" w:type="dxa"/>
            <w:tcBorders/>
            <w:shd w:color="auto" w:fill="BFBFBF" w:themeFill="background1" w:themeFillShade="bf" w:val="clear"/>
            <w:tcMar>
              <w:left w:w="108" w:type="dxa"/>
            </w:tcMar>
            <w:vAlign w:val="center"/>
          </w:tcPr>
          <w:p>
            <w:pPr>
              <w:pStyle w:val="Normal"/>
              <w:tabs>
                <w:tab w:val="left" w:pos="2977" w:leader="none"/>
              </w:tabs>
              <w:rPr>
                <w:b/>
                <w:b/>
                <w:rFonts w:cs="Arial"/>
              </w:rPr>
            </w:pPr>
            <w:r>
              <w:rPr>
                <w:rFonts w:cs="Arial"/>
                <w:b/>
              </w:rPr>
              <w:t>Hours of Work:</w:t>
            </w:r>
            <w:r/>
          </w:p>
        </w:tc>
        <w:tc>
          <w:tcPr>
            <w:tcW w:w="8356" w:type="dxa"/>
            <w:gridSpan w:val="3"/>
            <w:tcBorders/>
            <w:shd w:fill="auto" w:val="clear"/>
            <w:tcMar>
              <w:left w:w="108" w:type="dxa"/>
            </w:tcMar>
            <w:vAlign w:val="center"/>
          </w:tcPr>
          <w:p>
            <w:pPr>
              <w:pStyle w:val="Normal"/>
              <w:tabs>
                <w:tab w:val="left" w:pos="2977" w:leader="none"/>
              </w:tabs>
              <w:rPr>
                <w:rFonts w:cs="Arial"/>
                <w:color w:val="FF0000"/>
              </w:rPr>
            </w:pPr>
            <w:r>
              <w:rPr>
                <w:rFonts w:cs="Arial"/>
              </w:rPr>
              <w:t>Full-Time</w:t>
            </w:r>
            <w:r/>
          </w:p>
        </w:tc>
      </w:tr>
      <w:tr>
        <w:trPr>
          <w:trHeight w:val="703" w:hRule="atLeast"/>
        </w:trPr>
        <w:tc>
          <w:tcPr>
            <w:tcW w:w="1837" w:type="dxa"/>
            <w:tcBorders/>
            <w:shd w:color="auto" w:fill="BFBFBF" w:themeFill="background1" w:themeFillShade="bf" w:val="clear"/>
            <w:tcMar>
              <w:left w:w="108" w:type="dxa"/>
            </w:tcMar>
            <w:vAlign w:val="center"/>
          </w:tcPr>
          <w:p>
            <w:pPr>
              <w:pStyle w:val="Normal"/>
              <w:tabs>
                <w:tab w:val="left" w:pos="2977" w:leader="none"/>
              </w:tabs>
              <w:jc w:val="both"/>
              <w:rPr>
                <w:b/>
                <w:b/>
                <w:rFonts w:cs="Arial"/>
              </w:rPr>
            </w:pPr>
            <w:r>
              <w:rPr>
                <w:rFonts w:cs="Arial"/>
                <w:b/>
              </w:rPr>
              <w:t>Responsible To:</w:t>
            </w:r>
            <w:r/>
          </w:p>
        </w:tc>
        <w:tc>
          <w:tcPr>
            <w:tcW w:w="3259" w:type="dxa"/>
            <w:tcBorders/>
            <w:shd w:fill="auto" w:val="clear"/>
            <w:tcMar>
              <w:left w:w="108" w:type="dxa"/>
            </w:tcMar>
            <w:vAlign w:val="center"/>
          </w:tcPr>
          <w:p>
            <w:pPr>
              <w:pStyle w:val="Normal"/>
              <w:tabs>
                <w:tab w:val="left" w:pos="2977" w:leader="none"/>
              </w:tabs>
              <w:rPr>
                <w:rFonts w:cs="Arial"/>
                <w:color w:val="FF0000"/>
              </w:rPr>
            </w:pPr>
            <w:r>
              <w:rPr>
                <w:rFonts w:cs="Arial"/>
              </w:rPr>
              <w:t>Director of Music (DOM)</w:t>
            </w:r>
            <w:r/>
          </w:p>
        </w:tc>
        <w:tc>
          <w:tcPr>
            <w:tcW w:w="1986" w:type="dxa"/>
            <w:tcBorders/>
            <w:shd w:color="auto" w:fill="BFBFBF" w:themeFill="background1" w:themeFillShade="bf" w:val="clear"/>
            <w:tcMar>
              <w:left w:w="108" w:type="dxa"/>
            </w:tcMar>
            <w:vAlign w:val="center"/>
          </w:tcPr>
          <w:p>
            <w:pPr>
              <w:pStyle w:val="Normal"/>
              <w:tabs>
                <w:tab w:val="left" w:pos="2977" w:leader="none"/>
              </w:tabs>
              <w:rPr>
                <w:b/>
                <w:b/>
                <w:rFonts w:cs="Arial"/>
              </w:rPr>
            </w:pPr>
            <w:r>
              <w:rPr>
                <w:rFonts w:cs="Arial"/>
                <w:b/>
              </w:rPr>
              <w:t>Responsible For:</w:t>
            </w:r>
            <w:r/>
          </w:p>
        </w:tc>
        <w:tc>
          <w:tcPr>
            <w:tcW w:w="3111" w:type="dxa"/>
            <w:tcBorders/>
            <w:shd w:fill="auto" w:val="clear"/>
            <w:tcMar>
              <w:left w:w="108" w:type="dxa"/>
            </w:tcMar>
            <w:vAlign w:val="center"/>
          </w:tcPr>
          <w:p>
            <w:pPr>
              <w:pStyle w:val="Normal"/>
              <w:tabs>
                <w:tab w:val="left" w:pos="2977" w:leader="none"/>
              </w:tabs>
              <w:rPr>
                <w:rFonts w:cs="Arial"/>
              </w:rPr>
            </w:pPr>
            <w:r>
              <w:rPr>
                <w:rFonts w:cs="Arial"/>
              </w:rPr>
              <w:t>N/A</w:t>
            </w:r>
            <w:r/>
          </w:p>
        </w:tc>
      </w:tr>
    </w:tbl>
    <w:p>
      <w:pPr>
        <w:pStyle w:val="Normal"/>
        <w:tabs>
          <w:tab w:val="left" w:pos="2977" w:leader="none"/>
        </w:tabs>
        <w:jc w:val="center"/>
        <w:rPr>
          <w:b/>
          <w:b/>
          <w:rFonts w:cs="Arial"/>
        </w:rPr>
      </w:pPr>
      <w:r>
        <w:rPr>
          <w:rFonts w:cs="Arial"/>
          <w:b/>
        </w:rPr>
      </w:r>
      <w:r/>
    </w:p>
    <w:p>
      <w:pPr>
        <w:pStyle w:val="Normal"/>
        <w:rPr>
          <w:rFonts w:cs="Arial"/>
        </w:rPr>
      </w:pPr>
      <w:bookmarkStart w:id="0" w:name="_GoBack"/>
      <w:bookmarkEnd w:id="0"/>
      <w:r>
        <w:rPr>
          <w:rFonts w:cs="Arial"/>
        </w:rPr>
        <w:t xml:space="preserve">A Co-ordinator of Instrumental Music is required for September 2019, or January 2020. You will be an exceptional pianist and accompanist, responsible for all accompanying in the department. There will also be the opportunity to teach classroom music from KS3-K5. </w:t>
      </w:r>
      <w:r/>
    </w:p>
    <w:p>
      <w:pPr>
        <w:pStyle w:val="Normal"/>
        <w:rPr>
          <w:rFonts w:cs="Arial"/>
        </w:rPr>
      </w:pPr>
      <w:r>
        <w:rPr>
          <w:rFonts w:cs="Arial"/>
        </w:rPr>
      </w:r>
      <w:r/>
    </w:p>
    <w:p>
      <w:pPr>
        <w:pStyle w:val="Normal"/>
        <w:rPr>
          <w:rFonts w:cs="Arial"/>
        </w:rPr>
      </w:pPr>
      <w:r>
        <w:rPr>
          <w:rFonts w:cs="Arial"/>
        </w:rPr>
        <w:t xml:space="preserve">The Co-ordinator of Instrumental Music will prepare and accompany students’ GCSE &amp; A Level performances, as well as playing for Trinity Guildhall &amp; ABRSM examinations. You will play a significant role in preparing students for formal and informal performances in recitals, concerts, and major school events. </w:t>
      </w:r>
      <w:r/>
    </w:p>
    <w:p>
      <w:pPr>
        <w:pStyle w:val="Normal"/>
        <w:rPr>
          <w:rFonts w:cs="Arial"/>
        </w:rPr>
      </w:pPr>
      <w:r>
        <w:rPr>
          <w:rFonts w:cs="Arial"/>
        </w:rPr>
      </w:r>
      <w:r/>
    </w:p>
    <w:p>
      <w:pPr>
        <w:pStyle w:val="Normal"/>
      </w:pPr>
      <w:r>
        <w:rPr>
          <w:rFonts w:cs="Arial"/>
        </w:rPr>
        <w:t xml:space="preserve">You will also teach a small timetable of curriculum music throughout the school up to Oxbridge entrance standard. </w:t>
      </w:r>
      <w:r>
        <w:rPr/>
        <w:t>You will be an outstanding, and practicing, musician with excellent subject knowledge and experience, and the enthusiasm and creativity to engage all our students in this important aspect of the life of the school.</w:t>
      </w:r>
      <w:r/>
    </w:p>
    <w:p>
      <w:pPr>
        <w:pStyle w:val="Normal"/>
      </w:pPr>
      <w:r>
        <w:rPr/>
      </w:r>
      <w:r/>
    </w:p>
    <w:p>
      <w:pPr>
        <w:pStyle w:val="Normal"/>
      </w:pPr>
      <w:r>
        <w:rPr/>
        <w:t xml:space="preserve">It is expected you will contribute to the busy calendar of the department outside and beyond the curriculum. </w:t>
      </w:r>
      <w:r/>
    </w:p>
    <w:p>
      <w:pPr>
        <w:pStyle w:val="Normal"/>
      </w:pPr>
      <w:r>
        <w:rPr/>
      </w:r>
      <w:r/>
    </w:p>
    <w:p>
      <w:pPr>
        <w:pStyle w:val="Normal"/>
        <w:rPr>
          <w:rFonts w:cs="Arial"/>
        </w:rPr>
      </w:pPr>
      <w:r>
        <w:rPr/>
        <w:t>Depending on experience you may be required to manage the team of Visiting Music Teachers (VMTs).</w:t>
      </w:r>
      <w:r/>
    </w:p>
    <w:p>
      <w:pPr>
        <w:pStyle w:val="Normal"/>
      </w:pPr>
      <w:r>
        <w:rPr/>
      </w:r>
      <w:r/>
    </w:p>
    <w:p>
      <w:pPr>
        <w:pStyle w:val="Normal"/>
      </w:pPr>
      <w:r>
        <w:rPr/>
      </w:r>
      <w:r/>
    </w:p>
    <w:p>
      <w:pPr>
        <w:pStyle w:val="Normal"/>
        <w:tabs>
          <w:tab w:val="left" w:pos="2977" w:leader="none"/>
        </w:tabs>
        <w:rPr>
          <w:b/>
          <w:b/>
          <w:rFonts w:cs="Arial"/>
        </w:rPr>
      </w:pPr>
      <w:r>
        <w:rPr>
          <w:rFonts w:cs="Arial"/>
          <w:b/>
        </w:rPr>
        <w:t>Specific Responsibilities:</w:t>
      </w:r>
      <w:r/>
    </w:p>
    <w:p>
      <w:pPr>
        <w:pStyle w:val="Normal"/>
        <w:tabs>
          <w:tab w:val="left" w:pos="2977" w:leader="none"/>
        </w:tabs>
        <w:rPr>
          <w:b/>
          <w:b/>
          <w:rFonts w:cs="Arial"/>
        </w:rPr>
      </w:pPr>
      <w:r>
        <w:rPr>
          <w:rFonts w:cs="Arial"/>
          <w:b/>
        </w:rPr>
      </w:r>
      <w:r/>
    </w:p>
    <w:p>
      <w:pPr>
        <w:pStyle w:val="Normal"/>
        <w:rPr>
          <w:b/>
          <w:b/>
          <w:rFonts w:cs="Arial"/>
        </w:rPr>
      </w:pPr>
      <w:r>
        <w:rPr>
          <w:rFonts w:cs="Arial"/>
          <w:b/>
        </w:rPr>
        <w:t>Accompanying</w:t>
      </w:r>
      <w:r/>
    </w:p>
    <w:p>
      <w:pPr>
        <w:pStyle w:val="ListParagraph"/>
        <w:numPr>
          <w:ilvl w:val="0"/>
          <w:numId w:val="2"/>
        </w:numPr>
        <w:tabs>
          <w:tab w:val="left" w:pos="709" w:leader="none"/>
          <w:tab w:val="left" w:pos="1417" w:leader="none"/>
          <w:tab w:val="left" w:pos="2126" w:leader="none"/>
          <w:tab w:val="left" w:pos="2835" w:leader="none"/>
          <w:tab w:val="left" w:pos="3543" w:leader="none"/>
          <w:tab w:val="right" w:pos="8220" w:leader="none"/>
        </w:tabs>
        <w:spacing w:before="0" w:after="0"/>
        <w:contextualSpacing/>
        <w:rPr>
          <w:rFonts w:ascii="Calibri" w:hAnsi="Calibri" w:cs="Arial" w:asciiTheme="minorHAnsi" w:hAnsiTheme="minorHAnsi"/>
        </w:rPr>
      </w:pPr>
      <w:r>
        <w:rPr>
          <w:rFonts w:cs="Arial"/>
        </w:rPr>
        <w:t>Piano accompaniment – rehearsals, exams (GCSE, A Level, ABRSM, Trinity), recitals, and concerts</w:t>
      </w:r>
      <w:r/>
    </w:p>
    <w:p>
      <w:pPr>
        <w:pStyle w:val="ListParagraph"/>
        <w:numPr>
          <w:ilvl w:val="0"/>
          <w:numId w:val="2"/>
        </w:numPr>
        <w:tabs>
          <w:tab w:val="left" w:pos="709" w:leader="none"/>
          <w:tab w:val="left" w:pos="1417" w:leader="none"/>
          <w:tab w:val="left" w:pos="2126" w:leader="none"/>
          <w:tab w:val="left" w:pos="2835" w:leader="none"/>
          <w:tab w:val="left" w:pos="3543" w:leader="none"/>
          <w:tab w:val="right" w:pos="8220" w:leader="none"/>
        </w:tabs>
        <w:spacing w:before="0" w:after="0"/>
        <w:contextualSpacing/>
        <w:rPr>
          <w:rFonts w:ascii="Calibri" w:hAnsi="Calibri" w:cs="Arial" w:asciiTheme="minorHAnsi" w:hAnsiTheme="minorHAnsi"/>
        </w:rPr>
      </w:pPr>
      <w:r>
        <w:rPr>
          <w:rFonts w:cs="Arial"/>
        </w:rPr>
        <w:t xml:space="preserve">Liaise with VMTs and academic staff in monitoring student progress </w:t>
      </w:r>
      <w:r/>
    </w:p>
    <w:p>
      <w:pPr>
        <w:pStyle w:val="ListParagraph"/>
        <w:numPr>
          <w:ilvl w:val="0"/>
          <w:numId w:val="2"/>
        </w:numPr>
        <w:tabs>
          <w:tab w:val="left" w:pos="709" w:leader="none"/>
          <w:tab w:val="left" w:pos="1417" w:leader="none"/>
          <w:tab w:val="left" w:pos="2126" w:leader="none"/>
          <w:tab w:val="left" w:pos="2835" w:leader="none"/>
          <w:tab w:val="left" w:pos="3543" w:leader="none"/>
          <w:tab w:val="right" w:pos="8220" w:leader="none"/>
        </w:tabs>
        <w:spacing w:before="0" w:after="0"/>
        <w:contextualSpacing/>
        <w:rPr>
          <w:rFonts w:ascii="Calibri" w:hAnsi="Calibri" w:cs="Arial" w:asciiTheme="minorHAnsi" w:hAnsiTheme="minorHAnsi"/>
        </w:rPr>
      </w:pPr>
      <w:r>
        <w:rPr>
          <w:rFonts w:cs="Arial"/>
        </w:rPr>
        <w:t>Assistance in curriculum lessons – performance, composition, aural work</w:t>
      </w:r>
      <w:r/>
    </w:p>
    <w:p>
      <w:pPr>
        <w:pStyle w:val="ListParagraph"/>
        <w:numPr>
          <w:ilvl w:val="0"/>
          <w:numId w:val="2"/>
        </w:numPr>
        <w:tabs>
          <w:tab w:val="left" w:pos="709" w:leader="none"/>
          <w:tab w:val="left" w:pos="1417" w:leader="none"/>
          <w:tab w:val="left" w:pos="2126" w:leader="none"/>
          <w:tab w:val="left" w:pos="2835" w:leader="none"/>
          <w:tab w:val="left" w:pos="3543" w:leader="none"/>
          <w:tab w:val="right" w:pos="8220" w:leader="none"/>
        </w:tabs>
        <w:spacing w:before="0" w:after="0"/>
        <w:contextualSpacing/>
        <w:rPr>
          <w:rFonts w:ascii="Calibri" w:hAnsi="Calibri" w:cs="Arial" w:asciiTheme="minorHAnsi" w:hAnsiTheme="minorHAnsi"/>
        </w:rPr>
      </w:pPr>
      <w:r>
        <w:rPr>
          <w:rFonts w:cs="Arial"/>
        </w:rPr>
        <w:t>Running individual and group aural sessions</w:t>
      </w:r>
      <w:r/>
    </w:p>
    <w:p>
      <w:pPr>
        <w:pStyle w:val="ListParagraph"/>
        <w:numPr>
          <w:ilvl w:val="0"/>
          <w:numId w:val="2"/>
        </w:numPr>
        <w:tabs>
          <w:tab w:val="left" w:pos="709" w:leader="none"/>
          <w:tab w:val="left" w:pos="1417" w:leader="none"/>
          <w:tab w:val="left" w:pos="2126" w:leader="none"/>
          <w:tab w:val="left" w:pos="2835" w:leader="none"/>
          <w:tab w:val="left" w:pos="3543" w:leader="none"/>
          <w:tab w:val="right" w:pos="8220" w:leader="none"/>
        </w:tabs>
        <w:spacing w:before="0" w:after="0"/>
        <w:contextualSpacing/>
        <w:rPr>
          <w:rFonts w:ascii="Calibri" w:hAnsi="Calibri" w:cs="Arial" w:asciiTheme="minorHAnsi" w:hAnsiTheme="minorHAnsi"/>
        </w:rPr>
      </w:pPr>
      <w:r>
        <w:rPr>
          <w:rFonts w:cs="Arial"/>
        </w:rPr>
        <w:t>Working with the Music Scholars in further developing their performance skills</w:t>
      </w:r>
      <w:r/>
    </w:p>
    <w:p>
      <w:pPr>
        <w:pStyle w:val="ListParagraph"/>
        <w:numPr>
          <w:ilvl w:val="0"/>
          <w:numId w:val="2"/>
        </w:numPr>
        <w:tabs>
          <w:tab w:val="left" w:pos="709" w:leader="none"/>
          <w:tab w:val="left" w:pos="1417" w:leader="none"/>
          <w:tab w:val="left" w:pos="2126" w:leader="none"/>
          <w:tab w:val="left" w:pos="2835" w:leader="none"/>
          <w:tab w:val="left" w:pos="3543" w:leader="none"/>
          <w:tab w:val="right" w:pos="8220" w:leader="none"/>
        </w:tabs>
        <w:spacing w:before="0" w:after="0"/>
        <w:contextualSpacing/>
        <w:rPr>
          <w:rFonts w:ascii="Calibri" w:hAnsi="Calibri" w:cs="Arial" w:asciiTheme="minorHAnsi" w:hAnsiTheme="minorHAnsi"/>
        </w:rPr>
      </w:pPr>
      <w:r>
        <w:rPr>
          <w:rFonts w:cs="Arial"/>
        </w:rPr>
        <w:t>Playing piano/organ for whole school masses</w:t>
      </w:r>
      <w:r/>
    </w:p>
    <w:p>
      <w:pPr>
        <w:pStyle w:val="ListParagraph"/>
        <w:numPr>
          <w:ilvl w:val="0"/>
          <w:numId w:val="2"/>
        </w:numPr>
        <w:tabs>
          <w:tab w:val="left" w:pos="709" w:leader="none"/>
          <w:tab w:val="left" w:pos="1417" w:leader="none"/>
          <w:tab w:val="left" w:pos="2126" w:leader="none"/>
          <w:tab w:val="left" w:pos="2835" w:leader="none"/>
          <w:tab w:val="left" w:pos="3543" w:leader="none"/>
          <w:tab w:val="right" w:pos="8220" w:leader="none"/>
        </w:tabs>
        <w:spacing w:before="0" w:after="0"/>
        <w:contextualSpacing/>
        <w:rPr>
          <w:rFonts w:ascii="Calibri" w:hAnsi="Calibri" w:cs="Arial" w:asciiTheme="minorHAnsi" w:hAnsiTheme="minorHAnsi"/>
        </w:rPr>
      </w:pPr>
      <w:r>
        <w:rPr>
          <w:rFonts w:cs="Arial"/>
        </w:rPr>
        <w:t>Assisting with Liturgical Music, and involvement by arrangement with House Masses and Boarding Masses</w:t>
      </w:r>
      <w:r/>
    </w:p>
    <w:p>
      <w:pPr>
        <w:pStyle w:val="Normal"/>
        <w:tabs>
          <w:tab w:val="left" w:pos="2977" w:leader="none"/>
        </w:tabs>
        <w:rPr>
          <w:b/>
          <w:b/>
          <w:rFonts w:cs="Arial"/>
        </w:rPr>
      </w:pPr>
      <w:r>
        <w:rPr>
          <w:rFonts w:cs="Arial"/>
          <w:b/>
        </w:rPr>
      </w:r>
      <w:r/>
    </w:p>
    <w:p>
      <w:pPr>
        <w:pStyle w:val="Normal"/>
      </w:pPr>
      <w:r>
        <w:rPr>
          <w:b/>
        </w:rPr>
        <w:t>Academic/Curriculum</w:t>
      </w:r>
      <w:r/>
    </w:p>
    <w:p>
      <w:pPr>
        <w:pStyle w:val="ListParagraph"/>
        <w:numPr>
          <w:ilvl w:val="0"/>
          <w:numId w:val="4"/>
        </w:numPr>
        <w:spacing w:lineRule="auto" w:line="256" w:before="0" w:after="0"/>
        <w:ind w:left="709" w:hanging="360"/>
        <w:contextualSpacing/>
        <w:rPr>
          <w:rFonts w:ascii="Calibri" w:hAnsi="Calibri" w:eastAsia="Calibri" w:cs="Calibri"/>
        </w:rPr>
      </w:pPr>
      <w:r>
        <w:rPr/>
        <w:t>Teach a reduced timetable through KS3-5</w:t>
      </w:r>
      <w:r/>
    </w:p>
    <w:p>
      <w:pPr>
        <w:pStyle w:val="ListParagraph"/>
        <w:numPr>
          <w:ilvl w:val="0"/>
          <w:numId w:val="4"/>
        </w:numPr>
        <w:spacing w:lineRule="auto" w:line="256" w:before="0" w:after="0"/>
        <w:ind w:left="709" w:hanging="360"/>
        <w:contextualSpacing/>
        <w:rPr>
          <w:rFonts w:ascii="Calibri" w:hAnsi="Calibri" w:eastAsia="Calibri" w:cs="Calibri"/>
        </w:rPr>
      </w:pPr>
      <w:r>
        <w:rPr/>
        <w:t>To help further raise the profile of music as an academic subject</w:t>
      </w:r>
      <w:r/>
    </w:p>
    <w:p>
      <w:pPr>
        <w:pStyle w:val="Normal"/>
        <w:spacing w:lineRule="auto" w:line="256" w:before="0" w:after="0"/>
        <w:contextualSpacing/>
        <w:rPr>
          <w:b/>
          <w:b/>
        </w:rPr>
      </w:pPr>
      <w:r>
        <w:rPr>
          <w:b/>
        </w:rPr>
      </w:r>
      <w:r/>
    </w:p>
    <w:p>
      <w:pPr>
        <w:pStyle w:val="Normal"/>
      </w:pPr>
      <w:r>
        <w:rPr>
          <w:b/>
        </w:rPr>
        <w:t>Extra-Curricular</w:t>
      </w:r>
      <w:r/>
    </w:p>
    <w:p>
      <w:pPr>
        <w:pStyle w:val="ListParagraph"/>
        <w:numPr>
          <w:ilvl w:val="0"/>
          <w:numId w:val="5"/>
        </w:numPr>
        <w:spacing w:lineRule="auto" w:line="256" w:before="0" w:after="0"/>
        <w:ind w:left="709" w:hanging="360"/>
        <w:contextualSpacing/>
        <w:rPr>
          <w:rFonts w:ascii="Calibri" w:hAnsi="Calibri" w:eastAsia="Calibri" w:cs="Calibri"/>
        </w:rPr>
      </w:pPr>
      <w:r>
        <w:rPr/>
        <w:t>Leading ensembles and choirs as required, including arranging music where needed, and participating fully in concerts and extra-curricular music activities. This will require commitment to ensembles which rehearse at lunchtimes, after school, evening and during occasional weekends</w:t>
      </w:r>
      <w:r/>
    </w:p>
    <w:p>
      <w:pPr>
        <w:pStyle w:val="ListParagraph"/>
        <w:numPr>
          <w:ilvl w:val="0"/>
          <w:numId w:val="5"/>
        </w:numPr>
        <w:spacing w:lineRule="auto" w:line="256" w:before="0" w:after="0"/>
        <w:ind w:left="709" w:hanging="360"/>
        <w:contextualSpacing/>
        <w:rPr>
          <w:rFonts w:ascii="Calibri" w:hAnsi="Calibri" w:eastAsia="Calibri" w:cs="Calibri"/>
        </w:rPr>
      </w:pPr>
      <w:r>
        <w:rPr/>
        <w:t>Assisting with concerts, recitals, informal performances and performance classes for exam groups</w:t>
      </w:r>
      <w:r/>
    </w:p>
    <w:p>
      <w:pPr>
        <w:pStyle w:val="ListParagraph"/>
        <w:numPr>
          <w:ilvl w:val="0"/>
          <w:numId w:val="5"/>
        </w:numPr>
        <w:spacing w:lineRule="auto" w:line="256" w:before="0" w:after="0"/>
        <w:ind w:left="709" w:hanging="360"/>
        <w:contextualSpacing/>
        <w:rPr>
          <w:rFonts w:ascii="Calibri" w:hAnsi="Calibri" w:eastAsia="Calibri" w:cs="Calibri"/>
        </w:rPr>
      </w:pPr>
      <w:r>
        <w:rPr/>
        <w:t>Assisting the Director of Music  at concerts and in the organisation of stage management</w:t>
      </w:r>
      <w:r/>
    </w:p>
    <w:p>
      <w:pPr>
        <w:pStyle w:val="Normal"/>
        <w:tabs>
          <w:tab w:val="left" w:pos="2977" w:leader="none"/>
        </w:tabs>
        <w:rPr>
          <w:b/>
          <w:b/>
          <w:rFonts w:cs="Arial"/>
        </w:rPr>
      </w:pPr>
      <w:r>
        <w:rPr>
          <w:rFonts w:cs="Arial"/>
          <w:b/>
        </w:rPr>
      </w:r>
      <w:r/>
    </w:p>
    <w:p>
      <w:pPr>
        <w:sectPr>
          <w:headerReference w:type="first" r:id="rId2"/>
          <w:type w:val="nextPage"/>
          <w:pgSz w:w="11906" w:h="16838"/>
          <w:pgMar w:left="851" w:right="851" w:header="0" w:top="1440" w:footer="0" w:bottom="1440" w:gutter="0"/>
          <w:pgNumType w:fmt="decimal"/>
          <w:formProt w:val="false"/>
          <w:titlePg/>
          <w:textDirection w:val="lrTb"/>
          <w:docGrid w:type="default" w:linePitch="360" w:charSpace="4294965247"/>
        </w:sectPr>
        <w:pStyle w:val="Normal"/>
        <w:rPr>
          <w:b/>
          <w:b/>
        </w:rPr>
      </w:pPr>
      <w:r>
        <w:rPr>
          <w:b/>
        </w:rPr>
        <w:t>General Duties for all Music Staff:</w:t>
      </w:r>
      <w:r/>
    </w:p>
    <w:p>
      <w:pPr>
        <w:pStyle w:val="ListParagraph"/>
        <w:numPr>
          <w:ilvl w:val="0"/>
          <w:numId w:val="3"/>
        </w:numPr>
        <w:spacing w:lineRule="auto" w:line="256" w:before="0" w:after="0"/>
        <w:ind w:left="709" w:hanging="360"/>
        <w:contextualSpacing/>
        <w:rPr>
          <w:rFonts w:ascii="Calibri" w:hAnsi="Calibri" w:eastAsia="Calibri" w:cs="Calibri"/>
        </w:rPr>
      </w:pPr>
      <w:r>
        <w:rPr/>
        <w:t>Teaching music to classes within the curriculum</w:t>
      </w:r>
      <w:r/>
    </w:p>
    <w:p>
      <w:pPr>
        <w:pStyle w:val="ListParagraph"/>
        <w:numPr>
          <w:ilvl w:val="0"/>
          <w:numId w:val="3"/>
        </w:numPr>
        <w:spacing w:lineRule="auto" w:line="256" w:before="0" w:after="0"/>
        <w:ind w:left="709" w:hanging="360"/>
        <w:contextualSpacing/>
        <w:rPr>
          <w:rFonts w:ascii="Calibri" w:hAnsi="Calibri" w:eastAsia="Calibri" w:cs="Calibri"/>
        </w:rPr>
      </w:pPr>
      <w:r>
        <w:rPr/>
        <w:t>Monitoring and reporting on girls’ progress to the Director of Music and Parents</w:t>
      </w:r>
      <w:r/>
    </w:p>
    <w:p>
      <w:pPr>
        <w:pStyle w:val="ListParagraph"/>
        <w:numPr>
          <w:ilvl w:val="0"/>
          <w:numId w:val="3"/>
        </w:numPr>
        <w:spacing w:lineRule="auto" w:line="256" w:before="0" w:after="0"/>
        <w:ind w:left="709" w:hanging="360"/>
        <w:contextualSpacing/>
        <w:rPr>
          <w:rFonts w:ascii="Calibri" w:hAnsi="Calibri" w:eastAsia="Calibri" w:cs="Calibri"/>
        </w:rPr>
      </w:pPr>
      <w:r>
        <w:rPr/>
        <w:t>Encouraging all girls to strive for excellence in relation to their individual abilities</w:t>
      </w:r>
      <w:r/>
    </w:p>
    <w:p>
      <w:pPr>
        <w:pStyle w:val="ListParagraph"/>
        <w:numPr>
          <w:ilvl w:val="0"/>
          <w:numId w:val="3"/>
        </w:numPr>
        <w:spacing w:lineRule="auto" w:line="256" w:before="0" w:after="0"/>
        <w:ind w:left="709" w:hanging="360"/>
        <w:contextualSpacing/>
        <w:rPr>
          <w:rFonts w:ascii="Calibri" w:hAnsi="Calibri" w:eastAsia="Calibri" w:cs="Calibri"/>
        </w:rPr>
      </w:pPr>
      <w:r>
        <w:rPr/>
        <w:t>Leading extra-curricular ensembles as required</w:t>
      </w:r>
      <w:r/>
    </w:p>
    <w:p>
      <w:pPr>
        <w:pStyle w:val="ListParagraph"/>
        <w:numPr>
          <w:ilvl w:val="0"/>
          <w:numId w:val="3"/>
        </w:numPr>
        <w:spacing w:lineRule="auto" w:line="256" w:before="0" w:after="0"/>
        <w:ind w:left="709" w:hanging="360"/>
        <w:contextualSpacing/>
        <w:rPr>
          <w:rFonts w:ascii="Calibri" w:hAnsi="Calibri" w:eastAsia="Calibri" w:cs="Calibri"/>
        </w:rPr>
      </w:pPr>
      <w:r>
        <w:rPr/>
        <w:t>Playing piano for assemblies and School services as required</w:t>
      </w:r>
      <w:r/>
    </w:p>
    <w:p>
      <w:pPr>
        <w:pStyle w:val="ListParagraph"/>
        <w:numPr>
          <w:ilvl w:val="0"/>
          <w:numId w:val="3"/>
        </w:numPr>
        <w:spacing w:lineRule="auto" w:line="256" w:before="0" w:after="0"/>
        <w:ind w:left="709" w:hanging="360"/>
        <w:contextualSpacing/>
        <w:rPr>
          <w:rFonts w:ascii="Calibri" w:hAnsi="Calibri" w:eastAsia="Calibri" w:cs="Calibri"/>
        </w:rPr>
      </w:pPr>
      <w:r>
        <w:rPr/>
        <w:t>Becoming involved in the general life of the boarding School community</w:t>
      </w:r>
      <w:r/>
    </w:p>
    <w:p>
      <w:pPr>
        <w:pStyle w:val="ListParagraph"/>
        <w:numPr>
          <w:ilvl w:val="0"/>
          <w:numId w:val="3"/>
        </w:numPr>
        <w:spacing w:lineRule="auto" w:line="256" w:before="0" w:after="0"/>
        <w:ind w:left="709" w:hanging="360"/>
        <w:contextualSpacing/>
        <w:rPr>
          <w:rFonts w:ascii="Calibri" w:hAnsi="Calibri" w:eastAsia="Calibri" w:cs="Calibri"/>
        </w:rPr>
      </w:pPr>
      <w:r>
        <w:rPr/>
        <w:t>Working as a member of a large and cohesive departmental team</w:t>
      </w:r>
      <w:r/>
    </w:p>
    <w:p>
      <w:pPr>
        <w:pStyle w:val="ListParagraph"/>
        <w:numPr>
          <w:ilvl w:val="0"/>
          <w:numId w:val="3"/>
        </w:numPr>
        <w:spacing w:lineRule="auto" w:line="256" w:before="0" w:after="0"/>
        <w:ind w:left="709" w:hanging="360"/>
        <w:contextualSpacing/>
        <w:rPr>
          <w:rFonts w:ascii="Calibri" w:hAnsi="Calibri" w:eastAsia="Calibri" w:cs="Calibri"/>
        </w:rPr>
      </w:pPr>
      <w:r>
        <w:rPr/>
        <w:t>Developing and fostering own initiatives and ideas for the Department in consultation with the Director of Music</w:t>
      </w:r>
      <w:r/>
    </w:p>
    <w:p>
      <w:pPr>
        <w:pStyle w:val="ListParagraph"/>
        <w:spacing w:lineRule="auto" w:line="256" w:before="0" w:after="0"/>
        <w:ind w:left="709" w:hanging="0"/>
        <w:contextualSpacing/>
        <w:rPr>
          <w:rFonts w:ascii="Calibri" w:hAnsi="Calibri" w:eastAsia="Calibri" w:cs="Calibri"/>
        </w:rPr>
      </w:pPr>
      <w:r>
        <w:rPr/>
      </w:r>
      <w:r/>
    </w:p>
    <w:p>
      <w:pPr>
        <w:pStyle w:val="Normal"/>
        <w:rPr>
          <w:rFonts w:cs="Arial"/>
        </w:rPr>
      </w:pPr>
      <w:r>
        <w:rPr>
          <w:rFonts w:cs="Arial"/>
        </w:rPr>
      </w:r>
      <w:r/>
    </w:p>
    <w:p>
      <w:pPr>
        <w:pStyle w:val="Normal"/>
        <w:rPr>
          <w:rFonts w:cs="Arial"/>
        </w:rPr>
      </w:pPr>
      <w:r>
        <w:rPr>
          <w:rFonts w:cs="Arial"/>
        </w:rPr>
      </w:r>
      <w:r/>
    </w:p>
    <w:p>
      <w:pPr>
        <w:pStyle w:val="Normal"/>
        <w:rPr>
          <w:rFonts w:cs="Arial"/>
        </w:rPr>
      </w:pPr>
      <w:r>
        <w:rPr>
          <w:rFonts w:cs="Arial"/>
        </w:rPr>
      </w:r>
      <w:r>
        <w:br w:type="page"/>
      </w:r>
      <w:r/>
    </w:p>
    <w:p>
      <w:pPr>
        <w:pStyle w:val="Normal"/>
        <w:jc w:val="center"/>
        <w:rPr>
          <w:sz w:val="28"/>
          <w:b/>
          <w:sz w:val="28"/>
          <w:b/>
          <w:szCs w:val="28"/>
          <w:rFonts w:cs="Arial"/>
        </w:rPr>
      </w:pPr>
      <w:r>
        <w:rPr>
          <w:rFonts w:cs="Arial"/>
          <w:b/>
          <w:sz w:val="28"/>
          <w:szCs w:val="28"/>
        </w:rPr>
        <w:t>PERSON SPECIFICATION</w:t>
      </w:r>
      <w:r/>
    </w:p>
    <w:p>
      <w:pPr>
        <w:pStyle w:val="Normal"/>
        <w:jc w:val="center"/>
        <w:rPr>
          <w:rFonts w:cs="Arial"/>
        </w:rPr>
      </w:pPr>
      <w:r>
        <w:rPr>
          <w:rFonts w:cs="Arial"/>
        </w:rPr>
      </w:r>
      <w:r/>
    </w:p>
    <w:tbl>
      <w:tblPr>
        <w:tblStyle w:val="TableGrid"/>
        <w:tblW w:w="10194" w:type="dxa"/>
        <w:jc w:val="left"/>
        <w:tblInd w:w="0" w:type="dxa"/>
        <w:tblBorders/>
        <w:tblCellMar>
          <w:top w:w="0" w:type="dxa"/>
          <w:left w:w="108" w:type="dxa"/>
          <w:bottom w:w="0" w:type="dxa"/>
          <w:right w:w="108" w:type="dxa"/>
        </w:tblCellMar>
      </w:tblPr>
      <w:tblGrid>
        <w:gridCol w:w="5239"/>
        <w:gridCol w:w="4954"/>
      </w:tblGrid>
      <w:tr>
        <w:trPr>
          <w:trHeight w:val="567" w:hRule="atLeast"/>
        </w:trPr>
        <w:tc>
          <w:tcPr>
            <w:tcW w:w="5239" w:type="dxa"/>
            <w:tcBorders/>
            <w:shd w:color="auto" w:fill="BFBFBF" w:themeFill="background1" w:themeFillShade="bf" w:val="clear"/>
            <w:tcMar>
              <w:left w:w="108" w:type="dxa"/>
            </w:tcMar>
            <w:vAlign w:val="center"/>
          </w:tcPr>
          <w:p>
            <w:pPr>
              <w:pStyle w:val="Normal"/>
              <w:jc w:val="center"/>
              <w:rPr>
                <w:b/>
                <w:b/>
                <w:rFonts w:cs="Arial"/>
              </w:rPr>
            </w:pPr>
            <w:r>
              <w:rPr>
                <w:rFonts w:cs="Arial"/>
                <w:b/>
              </w:rPr>
              <w:t>Essential</w:t>
            </w:r>
            <w:r/>
          </w:p>
        </w:tc>
        <w:tc>
          <w:tcPr>
            <w:tcW w:w="4954" w:type="dxa"/>
            <w:tcBorders/>
            <w:shd w:color="auto" w:fill="BFBFBF" w:themeFill="background1" w:themeFillShade="bf" w:val="clear"/>
            <w:tcMar>
              <w:left w:w="108" w:type="dxa"/>
            </w:tcMar>
            <w:vAlign w:val="center"/>
          </w:tcPr>
          <w:p>
            <w:pPr>
              <w:pStyle w:val="Normal"/>
              <w:jc w:val="center"/>
              <w:rPr>
                <w:b/>
                <w:b/>
                <w:rFonts w:cs="Arial"/>
              </w:rPr>
            </w:pPr>
            <w:r>
              <w:rPr>
                <w:rFonts w:cs="Arial"/>
                <w:b/>
              </w:rPr>
              <w:t>Desirable</w:t>
            </w:r>
            <w:r/>
          </w:p>
        </w:tc>
      </w:tr>
      <w:tr>
        <w:trPr>
          <w:trHeight w:val="567" w:hRule="atLeast"/>
        </w:trPr>
        <w:tc>
          <w:tcPr>
            <w:tcW w:w="5239" w:type="dxa"/>
            <w:tcBorders/>
            <w:shd w:color="auto" w:fill="BFBFBF" w:themeFill="background1" w:themeFillShade="bf" w:val="clear"/>
            <w:tcMar>
              <w:left w:w="108" w:type="dxa"/>
            </w:tcMar>
            <w:vAlign w:val="center"/>
          </w:tcPr>
          <w:p>
            <w:pPr>
              <w:pStyle w:val="Normal"/>
              <w:rPr>
                <w:b/>
                <w:b/>
                <w:bCs/>
                <w:rFonts w:cs="Calibri"/>
              </w:rPr>
            </w:pPr>
            <w:r>
              <w:rPr>
                <w:rFonts w:cs="Calibri"/>
                <w:b/>
                <w:bCs/>
              </w:rPr>
              <w:t>Operational Excellence</w:t>
            </w:r>
            <w:r/>
          </w:p>
        </w:tc>
        <w:tc>
          <w:tcPr>
            <w:tcW w:w="4954" w:type="dxa"/>
            <w:tcBorders/>
            <w:shd w:color="auto" w:fill="BFBFBF" w:themeFill="background1" w:themeFillShade="bf" w:val="clear"/>
            <w:tcMar>
              <w:left w:w="108" w:type="dxa"/>
            </w:tcMar>
          </w:tcPr>
          <w:p>
            <w:pPr>
              <w:pStyle w:val="Normal"/>
              <w:rPr>
                <w:rFonts w:cs="Arial"/>
              </w:rPr>
            </w:pPr>
            <w:r>
              <w:rPr>
                <w:rFonts w:cs="Arial"/>
              </w:rPr>
            </w:r>
            <w:r/>
          </w:p>
        </w:tc>
      </w:tr>
      <w:tr>
        <w:trPr>
          <w:trHeight w:val="567" w:hRule="atLeast"/>
        </w:trPr>
        <w:tc>
          <w:tcPr>
            <w:tcW w:w="5239" w:type="dxa"/>
            <w:tcBorders/>
            <w:shd w:fill="auto" w:val="clear"/>
            <w:tcMar>
              <w:left w:w="108" w:type="dxa"/>
            </w:tcMar>
          </w:tcPr>
          <w:p>
            <w:pPr>
              <w:pStyle w:val="ListParagraph"/>
              <w:numPr>
                <w:ilvl w:val="0"/>
                <w:numId w:val="1"/>
              </w:numPr>
              <w:ind w:left="459" w:right="34" w:hanging="360"/>
              <w:rPr>
                <w:rFonts w:ascii="Calibri" w:hAnsi="Calibri" w:eastAsia="Times New Roman" w:cs="Arial" w:asciiTheme="minorHAnsi" w:hAnsiTheme="minorHAnsi"/>
                <w:lang w:eastAsia="en-GB"/>
              </w:rPr>
            </w:pPr>
            <w:r>
              <w:rPr>
                <w:rFonts w:eastAsia="Times New Roman" w:cs="Arial"/>
                <w:lang w:eastAsia="en-GB"/>
              </w:rPr>
              <w:t>Skilled accompanist.</w:t>
            </w:r>
            <w:r/>
          </w:p>
          <w:p>
            <w:pPr>
              <w:pStyle w:val="ListParagraph"/>
              <w:numPr>
                <w:ilvl w:val="0"/>
                <w:numId w:val="1"/>
              </w:numPr>
              <w:ind w:left="454" w:hanging="360"/>
              <w:rPr>
                <w:rFonts w:ascii="Calibri" w:hAnsi="Calibri" w:cs="Arial" w:asciiTheme="minorHAnsi" w:hAnsiTheme="minorHAnsi"/>
              </w:rPr>
            </w:pPr>
            <w:r>
              <w:rPr/>
              <w:t>Well qualified graduate with a degree in Music.</w:t>
            </w:r>
            <w:r/>
          </w:p>
          <w:p>
            <w:pPr>
              <w:pStyle w:val="ListParagraph"/>
              <w:numPr>
                <w:ilvl w:val="0"/>
                <w:numId w:val="1"/>
              </w:numPr>
              <w:ind w:left="459" w:right="34" w:hanging="360"/>
              <w:rPr>
                <w:rFonts w:ascii="Calibri" w:hAnsi="Calibri" w:eastAsia="Times New Roman" w:cs="Arial" w:asciiTheme="minorHAnsi" w:hAnsiTheme="minorHAnsi"/>
                <w:lang w:eastAsia="en-GB"/>
              </w:rPr>
            </w:pPr>
            <w:r>
              <w:rPr>
                <w:rFonts w:eastAsia="Times New Roman" w:cs="Arial"/>
                <w:lang w:eastAsia="en-GB"/>
              </w:rPr>
              <w:t>Use effective strategies to monitor motivation and progress</w:t>
            </w:r>
            <w:r>
              <w:rPr>
                <w:rFonts w:asciiTheme="minorHAnsi" w:hAnsiTheme="minorHAnsi"/>
              </w:rPr>
              <w:t>.</w:t>
            </w:r>
            <w:r/>
          </w:p>
          <w:p>
            <w:pPr>
              <w:pStyle w:val="ListParagraph"/>
              <w:numPr>
                <w:ilvl w:val="0"/>
                <w:numId w:val="1"/>
              </w:numPr>
              <w:ind w:left="459" w:right="34" w:hanging="360"/>
              <w:rPr>
                <w:rFonts w:ascii="Calibri" w:hAnsi="Calibri" w:eastAsia="Times New Roman" w:cs="Arial" w:asciiTheme="minorHAnsi" w:hAnsiTheme="minorHAnsi"/>
                <w:lang w:eastAsia="en-GB"/>
              </w:rPr>
            </w:pPr>
            <w:r>
              <w:rPr>
                <w:rFonts w:asciiTheme="minorHAnsi" w:hAnsiTheme="minorHAnsi"/>
              </w:rPr>
              <w:t>Provide feedback in relation to progress and achievement.</w:t>
            </w:r>
            <w:r/>
          </w:p>
          <w:p>
            <w:pPr>
              <w:pStyle w:val="ListParagraph"/>
              <w:numPr>
                <w:ilvl w:val="0"/>
                <w:numId w:val="1"/>
              </w:numPr>
              <w:ind w:left="459" w:right="34" w:hanging="360"/>
              <w:rPr>
                <w:rFonts w:ascii="Calibri" w:hAnsi="Calibri" w:asciiTheme="minorHAnsi" w:hAnsiTheme="minorHAnsi"/>
              </w:rPr>
            </w:pPr>
            <w:r>
              <w:rPr>
                <w:rFonts w:asciiTheme="minorHAnsi" w:hAnsiTheme="minorHAnsi"/>
              </w:rPr>
              <w:t>Have high expectations for all pupils providing clear structures for lessons maintaining pace, motivation and challenge.</w:t>
            </w:r>
            <w:r/>
          </w:p>
          <w:p>
            <w:pPr>
              <w:pStyle w:val="ListParagraph"/>
              <w:numPr>
                <w:ilvl w:val="0"/>
                <w:numId w:val="1"/>
              </w:numPr>
              <w:spacing w:before="0" w:after="0"/>
              <w:ind w:left="459" w:right="34" w:hanging="360"/>
              <w:contextualSpacing/>
              <w:rPr>
                <w:rFonts w:ascii="Calibri" w:hAnsi="Calibri" w:asciiTheme="minorHAnsi" w:hAnsiTheme="minorHAnsi"/>
              </w:rPr>
            </w:pPr>
            <w:r>
              <w:rPr>
                <w:rFonts w:asciiTheme="minorHAnsi" w:hAnsiTheme="minorHAnsi"/>
              </w:rPr>
              <w:t>Liaise with the Director of Music and the rest of the music team, to support achievement and progress of pupils.</w:t>
            </w:r>
            <w:r/>
          </w:p>
          <w:p>
            <w:pPr>
              <w:pStyle w:val="ListParagraph"/>
              <w:numPr>
                <w:ilvl w:val="0"/>
                <w:numId w:val="1"/>
              </w:numPr>
              <w:ind w:left="454" w:hanging="360"/>
              <w:rPr>
                <w:rFonts w:ascii="Calibri" w:hAnsi="Calibri" w:cs="Arial" w:asciiTheme="minorHAnsi" w:hAnsiTheme="minorHAnsi"/>
              </w:rPr>
            </w:pPr>
            <w:r>
              <w:rPr/>
              <w:t>The ability to nurture and develop musical talent with pupils.</w:t>
            </w:r>
            <w:r/>
          </w:p>
          <w:p>
            <w:pPr>
              <w:pStyle w:val="ListParagraph"/>
              <w:numPr>
                <w:ilvl w:val="0"/>
                <w:numId w:val="1"/>
              </w:numPr>
              <w:ind w:left="454" w:hanging="360"/>
              <w:rPr>
                <w:rFonts w:ascii="Calibri" w:hAnsi="Calibri" w:cs="Arial" w:asciiTheme="minorHAnsi" w:hAnsiTheme="minorHAnsi"/>
              </w:rPr>
            </w:pPr>
            <w:r>
              <w:rPr/>
              <w:t>Good understanding of the use of IT with music.</w:t>
            </w:r>
            <w:r/>
          </w:p>
        </w:tc>
        <w:tc>
          <w:tcPr>
            <w:tcW w:w="4954" w:type="dxa"/>
            <w:tcBorders/>
            <w:shd w:fill="auto" w:val="clear"/>
            <w:tcMar>
              <w:left w:w="108" w:type="dxa"/>
            </w:tcMar>
          </w:tcPr>
          <w:p>
            <w:pPr>
              <w:pStyle w:val="ListParagraph"/>
              <w:numPr>
                <w:ilvl w:val="0"/>
                <w:numId w:val="1"/>
              </w:numPr>
              <w:ind w:left="454" w:hanging="360"/>
              <w:rPr>
                <w:rFonts w:ascii="Calibri" w:hAnsi="Calibri" w:cs="Arial" w:asciiTheme="minorHAnsi" w:hAnsiTheme="minorHAnsi"/>
              </w:rPr>
            </w:pPr>
            <w:r>
              <w:rPr>
                <w:rFonts w:cs="Arial"/>
              </w:rPr>
              <w:t>Masters Level or equivalent in accompanying</w:t>
            </w:r>
            <w:r/>
          </w:p>
          <w:p>
            <w:pPr>
              <w:pStyle w:val="ListParagraph"/>
              <w:numPr>
                <w:ilvl w:val="0"/>
                <w:numId w:val="1"/>
              </w:numPr>
              <w:ind w:left="454" w:hanging="360"/>
              <w:rPr>
                <w:rFonts w:ascii="Calibri" w:hAnsi="Calibri" w:cs="Arial" w:asciiTheme="minorHAnsi" w:hAnsiTheme="minorHAnsi"/>
              </w:rPr>
            </w:pPr>
            <w:r>
              <w:rPr>
                <w:rFonts w:cs="Arial"/>
              </w:rPr>
              <w:t>Experience of teaching up to and supporting Oxbridge applications.</w:t>
            </w:r>
            <w:r/>
          </w:p>
          <w:p>
            <w:pPr>
              <w:pStyle w:val="ListParagraph"/>
              <w:numPr>
                <w:ilvl w:val="0"/>
                <w:numId w:val="1"/>
              </w:numPr>
              <w:ind w:left="454" w:hanging="360"/>
              <w:rPr>
                <w:rFonts w:ascii="Calibri" w:hAnsi="Calibri" w:cs="Arial" w:asciiTheme="minorHAnsi" w:hAnsiTheme="minorHAnsi"/>
              </w:rPr>
            </w:pPr>
            <w:r>
              <w:rPr/>
              <w:t>A second instrument</w:t>
            </w:r>
            <w:r/>
          </w:p>
        </w:tc>
      </w:tr>
      <w:tr>
        <w:trPr>
          <w:trHeight w:val="567" w:hRule="atLeast"/>
        </w:trPr>
        <w:tc>
          <w:tcPr>
            <w:tcW w:w="5239" w:type="dxa"/>
            <w:tcBorders/>
            <w:shd w:color="auto" w:fill="BFBFBF" w:themeFill="background1" w:themeFillShade="bf" w:val="clear"/>
            <w:tcMar>
              <w:left w:w="108" w:type="dxa"/>
            </w:tcMar>
            <w:vAlign w:val="center"/>
          </w:tcPr>
          <w:p>
            <w:pPr>
              <w:pStyle w:val="Normal"/>
              <w:rPr>
                <w:b/>
                <w:b/>
                <w:bCs/>
              </w:rPr>
            </w:pPr>
            <w:r>
              <w:rPr>
                <w:b/>
                <w:bCs/>
              </w:rPr>
              <w:t>Personal Behaviours</w:t>
            </w:r>
            <w:r/>
          </w:p>
        </w:tc>
        <w:tc>
          <w:tcPr>
            <w:tcW w:w="4954" w:type="dxa"/>
            <w:tcBorders/>
            <w:shd w:color="auto" w:fill="BFBFBF" w:themeFill="background1" w:themeFillShade="bf" w:val="clear"/>
            <w:tcMar>
              <w:left w:w="108" w:type="dxa"/>
            </w:tcMar>
          </w:tcPr>
          <w:p>
            <w:pPr>
              <w:pStyle w:val="Normal"/>
              <w:rPr>
                <w:rFonts w:cs="Arial"/>
              </w:rPr>
            </w:pPr>
            <w:r>
              <w:rPr>
                <w:rFonts w:cs="Arial"/>
              </w:rPr>
            </w:r>
            <w:r/>
          </w:p>
        </w:tc>
      </w:tr>
      <w:tr>
        <w:trPr>
          <w:trHeight w:val="567" w:hRule="atLeast"/>
        </w:trPr>
        <w:tc>
          <w:tcPr>
            <w:tcW w:w="5239" w:type="dxa"/>
            <w:tcBorders/>
            <w:shd w:fill="auto" w:val="clear"/>
            <w:tcMar>
              <w:left w:w="108" w:type="dxa"/>
            </w:tcMar>
          </w:tcPr>
          <w:p>
            <w:pPr>
              <w:pStyle w:val="Normal"/>
              <w:numPr>
                <w:ilvl w:val="0"/>
                <w:numId w:val="1"/>
              </w:numPr>
              <w:ind w:left="454" w:hanging="360"/>
              <w:jc w:val="both"/>
              <w:rPr>
                <w:rFonts w:eastAsia="Calibri"/>
              </w:rPr>
            </w:pPr>
            <w:r>
              <w:rPr>
                <w:rFonts w:eastAsia="Calibri"/>
              </w:rPr>
              <w:t>Communication Skills – the ability to communicate effectively with a range of staff, pupils and parents.</w:t>
            </w:r>
            <w:r/>
          </w:p>
          <w:p>
            <w:pPr>
              <w:pStyle w:val="ListParagraph"/>
              <w:numPr>
                <w:ilvl w:val="0"/>
                <w:numId w:val="1"/>
              </w:numPr>
              <w:ind w:left="454" w:hanging="360"/>
              <w:rPr>
                <w:rFonts w:ascii="Calibri" w:hAnsi="Calibri" w:cs="Arial" w:asciiTheme="minorHAnsi" w:hAnsiTheme="minorHAnsi"/>
              </w:rPr>
            </w:pPr>
            <w:r>
              <w:rPr>
                <w:rFonts w:cs="Arial"/>
              </w:rPr>
              <w:t>Ability to build and maintain strong working relationships.</w:t>
            </w:r>
            <w:r/>
          </w:p>
          <w:p>
            <w:pPr>
              <w:pStyle w:val="ListParagraph"/>
              <w:numPr>
                <w:ilvl w:val="0"/>
                <w:numId w:val="1"/>
              </w:numPr>
              <w:ind w:left="454" w:hanging="360"/>
              <w:rPr>
                <w:rFonts w:ascii="Calibri" w:hAnsi="Calibri" w:cs="Arial" w:asciiTheme="minorHAnsi" w:hAnsiTheme="minorHAnsi"/>
              </w:rPr>
            </w:pPr>
            <w:r>
              <w:rPr>
                <w:rFonts w:cs="Arial"/>
              </w:rPr>
              <w:t>Dynamic and creative with the ability to challenge and offer new ideas.</w:t>
            </w:r>
            <w:r/>
          </w:p>
          <w:p>
            <w:pPr>
              <w:pStyle w:val="ListParagraph"/>
              <w:numPr>
                <w:ilvl w:val="0"/>
                <w:numId w:val="1"/>
              </w:numPr>
              <w:ind w:left="454" w:hanging="360"/>
              <w:rPr>
                <w:rFonts w:ascii="Calibri" w:hAnsi="Calibri" w:cs="Arial" w:asciiTheme="minorHAnsi" w:hAnsiTheme="minorHAnsi"/>
              </w:rPr>
            </w:pPr>
            <w:r>
              <w:rPr>
                <w:rFonts w:cs="Arial"/>
              </w:rPr>
              <w:t>Team player working well with staff across the School.</w:t>
            </w:r>
            <w:r/>
          </w:p>
          <w:p>
            <w:pPr>
              <w:pStyle w:val="ListParagraph"/>
              <w:numPr>
                <w:ilvl w:val="0"/>
                <w:numId w:val="1"/>
              </w:numPr>
              <w:ind w:left="454" w:hanging="360"/>
              <w:rPr>
                <w:rFonts w:ascii="Calibri" w:hAnsi="Calibri" w:cs="Arial" w:asciiTheme="minorHAnsi" w:hAnsiTheme="minorHAnsi"/>
              </w:rPr>
            </w:pPr>
            <w:r>
              <w:rPr/>
              <w:t>The ability to anticipate and solve problems.</w:t>
            </w:r>
            <w:r/>
          </w:p>
          <w:p>
            <w:pPr>
              <w:pStyle w:val="ListParagraph"/>
              <w:numPr>
                <w:ilvl w:val="0"/>
                <w:numId w:val="1"/>
              </w:numPr>
              <w:ind w:left="454" w:hanging="360"/>
              <w:rPr>
                <w:rFonts w:ascii="Calibri" w:hAnsi="Calibri" w:cs="Arial" w:asciiTheme="minorHAnsi" w:hAnsiTheme="minorHAnsi"/>
              </w:rPr>
            </w:pPr>
            <w:r>
              <w:rPr/>
              <w:t>Confidence to make decisions within the wider context of the School.</w:t>
            </w:r>
            <w:r/>
          </w:p>
          <w:p>
            <w:pPr>
              <w:pStyle w:val="ListParagraph"/>
              <w:numPr>
                <w:ilvl w:val="0"/>
                <w:numId w:val="1"/>
              </w:numPr>
              <w:ind w:left="459" w:right="34" w:hanging="360"/>
              <w:rPr>
                <w:rFonts w:ascii="Calibri" w:hAnsi="Calibri" w:asciiTheme="minorHAnsi" w:hAnsiTheme="minorHAnsi"/>
              </w:rPr>
            </w:pPr>
            <w:r>
              <w:rPr/>
              <w:t>Flexibility to work the hours of the Music department in a boarding school.</w:t>
            </w:r>
            <w:r/>
          </w:p>
        </w:tc>
        <w:tc>
          <w:tcPr>
            <w:tcW w:w="4954" w:type="dxa"/>
            <w:tcBorders/>
            <w:shd w:fill="auto" w:val="clear"/>
            <w:tcMar>
              <w:left w:w="108" w:type="dxa"/>
            </w:tcMar>
          </w:tcPr>
          <w:p>
            <w:pPr>
              <w:pStyle w:val="Normal"/>
              <w:ind w:right="34" w:hanging="0"/>
              <w:rPr/>
            </w:pPr>
            <w:r>
              <w:rPr/>
            </w:r>
            <w:r/>
          </w:p>
        </w:tc>
      </w:tr>
      <w:tr>
        <w:trPr>
          <w:trHeight w:val="567" w:hRule="atLeast"/>
        </w:trPr>
        <w:tc>
          <w:tcPr>
            <w:tcW w:w="5239" w:type="dxa"/>
            <w:tcBorders/>
            <w:shd w:color="auto" w:fill="BFBFBF" w:themeFill="background1" w:themeFillShade="bf" w:val="clear"/>
            <w:tcMar>
              <w:left w:w="108" w:type="dxa"/>
            </w:tcMar>
            <w:vAlign w:val="center"/>
          </w:tcPr>
          <w:p>
            <w:pPr>
              <w:pStyle w:val="Normal"/>
              <w:rPr>
                <w:b/>
                <w:b/>
                <w:rFonts w:cs="Arial"/>
              </w:rPr>
            </w:pPr>
            <w:r>
              <w:rPr>
                <w:rFonts w:cs="Arial"/>
                <w:b/>
              </w:rPr>
              <w:t>Ethos and Whole School Values</w:t>
            </w:r>
            <w:r/>
          </w:p>
        </w:tc>
        <w:tc>
          <w:tcPr>
            <w:tcW w:w="4954" w:type="dxa"/>
            <w:tcBorders/>
            <w:shd w:color="auto" w:fill="BFBFBF" w:themeFill="background1" w:themeFillShade="bf" w:val="clear"/>
            <w:tcMar>
              <w:left w:w="108" w:type="dxa"/>
            </w:tcMar>
          </w:tcPr>
          <w:p>
            <w:pPr>
              <w:pStyle w:val="Normal"/>
              <w:rPr>
                <w:rFonts w:cs="Arial"/>
              </w:rPr>
            </w:pPr>
            <w:r>
              <w:rPr>
                <w:rFonts w:cs="Arial"/>
              </w:rPr>
            </w:r>
            <w:r/>
          </w:p>
        </w:tc>
      </w:tr>
      <w:tr>
        <w:trPr>
          <w:trHeight w:val="567" w:hRule="atLeast"/>
        </w:trPr>
        <w:tc>
          <w:tcPr>
            <w:tcW w:w="5239" w:type="dxa"/>
            <w:tcBorders/>
            <w:shd w:fill="auto" w:val="clear"/>
            <w:tcMar>
              <w:left w:w="108" w:type="dxa"/>
            </w:tcMar>
          </w:tcPr>
          <w:p>
            <w:pPr>
              <w:pStyle w:val="ListParagraph"/>
              <w:numPr>
                <w:ilvl w:val="0"/>
                <w:numId w:val="1"/>
              </w:numPr>
              <w:ind w:left="454" w:hanging="360"/>
              <w:rPr>
                <w:rFonts w:ascii="Calibri" w:hAnsi="Calibri" w:cs="Arial" w:asciiTheme="minorHAnsi" w:hAnsiTheme="minorHAnsi"/>
              </w:rPr>
            </w:pPr>
            <w:r>
              <w:rPr>
                <w:rFonts w:cs="Arial"/>
              </w:rPr>
              <w:t>Able to operate at the heart of the school community.</w:t>
            </w:r>
            <w:r/>
          </w:p>
          <w:p>
            <w:pPr>
              <w:pStyle w:val="ListParagraph"/>
              <w:numPr>
                <w:ilvl w:val="0"/>
                <w:numId w:val="1"/>
              </w:numPr>
              <w:ind w:left="454" w:hanging="360"/>
              <w:rPr>
                <w:rFonts w:ascii="Calibri" w:hAnsi="Calibri" w:cs="Arial" w:asciiTheme="minorHAnsi" w:hAnsiTheme="minorHAnsi"/>
              </w:rPr>
            </w:pPr>
            <w:r>
              <w:rPr>
                <w:rFonts w:cs="Arial"/>
              </w:rPr>
              <w:t>Committed to the Sacred Heart Values.</w:t>
            </w:r>
            <w:r/>
          </w:p>
          <w:p>
            <w:pPr>
              <w:pStyle w:val="ListParagraph"/>
              <w:numPr>
                <w:ilvl w:val="0"/>
                <w:numId w:val="1"/>
              </w:numPr>
              <w:ind w:left="454" w:hanging="360"/>
              <w:rPr>
                <w:rFonts w:ascii="Calibri" w:hAnsi="Calibri" w:cs="Arial" w:asciiTheme="minorHAnsi" w:hAnsiTheme="minorHAnsi"/>
              </w:rPr>
            </w:pPr>
            <w:r>
              <w:rPr>
                <w:rFonts w:cs="Arial"/>
              </w:rPr>
              <w:t>Commitment to Woldingham as a school with high academic standing providing a holistic education and outstanding pastoral care.</w:t>
            </w:r>
            <w:r/>
          </w:p>
        </w:tc>
        <w:tc>
          <w:tcPr>
            <w:tcW w:w="4954" w:type="dxa"/>
            <w:tcBorders/>
            <w:shd w:fill="auto" w:val="clear"/>
            <w:tcMar>
              <w:left w:w="108" w:type="dxa"/>
            </w:tcMar>
          </w:tcPr>
          <w:p>
            <w:pPr>
              <w:pStyle w:val="ListParagraph"/>
              <w:ind w:left="318" w:right="34" w:hanging="0"/>
              <w:rPr>
                <w:rFonts w:ascii="Calibri" w:hAnsi="Calibri" w:eastAsia="Calibri" w:cs="Calibri" w:asciiTheme="minorHAnsi" w:hAnsiTheme="minorHAnsi"/>
              </w:rPr>
            </w:pPr>
            <w:r>
              <w:rPr>
                <w:rFonts w:asciiTheme="minorHAnsi" w:hAnsiTheme="minorHAnsi"/>
              </w:rPr>
            </w:r>
            <w:r/>
          </w:p>
        </w:tc>
      </w:tr>
      <w:tr>
        <w:trPr>
          <w:trHeight w:val="567" w:hRule="atLeast"/>
        </w:trPr>
        <w:tc>
          <w:tcPr>
            <w:tcW w:w="5239" w:type="dxa"/>
            <w:tcBorders/>
            <w:shd w:color="auto" w:fill="BFBFBF" w:themeFill="background1" w:themeFillShade="bf" w:val="clear"/>
            <w:tcMar>
              <w:left w:w="108" w:type="dxa"/>
            </w:tcMar>
            <w:vAlign w:val="center"/>
          </w:tcPr>
          <w:p>
            <w:pPr>
              <w:pStyle w:val="Normal"/>
              <w:rPr>
                <w:b/>
                <w:b/>
                <w:rFonts w:cs="Arial"/>
              </w:rPr>
            </w:pPr>
            <w:r>
              <w:rPr>
                <w:rFonts w:cs="Arial"/>
                <w:b/>
              </w:rPr>
              <w:t>Safeguarding and Pastoral</w:t>
            </w:r>
            <w:r/>
          </w:p>
        </w:tc>
        <w:tc>
          <w:tcPr>
            <w:tcW w:w="4954" w:type="dxa"/>
            <w:tcBorders/>
            <w:shd w:color="auto" w:fill="BFBFBF" w:themeFill="background1" w:themeFillShade="bf" w:val="clear"/>
            <w:tcMar>
              <w:left w:w="108" w:type="dxa"/>
            </w:tcMar>
          </w:tcPr>
          <w:p>
            <w:pPr>
              <w:pStyle w:val="Normal"/>
              <w:rPr>
                <w:rFonts w:cs="Arial"/>
              </w:rPr>
            </w:pPr>
            <w:r>
              <w:rPr>
                <w:rFonts w:cs="Arial"/>
              </w:rPr>
            </w:r>
            <w:r/>
          </w:p>
        </w:tc>
      </w:tr>
      <w:tr>
        <w:trPr>
          <w:trHeight w:val="567" w:hRule="atLeast"/>
        </w:trPr>
        <w:tc>
          <w:tcPr>
            <w:tcW w:w="5239" w:type="dxa"/>
            <w:tcBorders/>
            <w:shd w:fill="auto" w:val="clear"/>
            <w:tcMar>
              <w:left w:w="108" w:type="dxa"/>
            </w:tcMar>
          </w:tcPr>
          <w:p>
            <w:pPr>
              <w:pStyle w:val="ListParagraph"/>
              <w:numPr>
                <w:ilvl w:val="0"/>
                <w:numId w:val="1"/>
              </w:numPr>
              <w:ind w:left="454" w:hanging="360"/>
              <w:rPr>
                <w:rFonts w:ascii="Calibri" w:hAnsi="Calibri" w:cs="Arial" w:asciiTheme="minorHAnsi" w:hAnsiTheme="minorHAnsi"/>
              </w:rPr>
            </w:pPr>
            <w:r>
              <w:rPr>
                <w:rFonts w:cs="Arial"/>
              </w:rPr>
              <w:t>Committed to safeguarding and promoting the welfare of children and young people.</w:t>
            </w:r>
            <w:r/>
          </w:p>
          <w:p>
            <w:pPr>
              <w:pStyle w:val="ListParagraph"/>
              <w:numPr>
                <w:ilvl w:val="0"/>
                <w:numId w:val="1"/>
              </w:numPr>
              <w:ind w:left="454" w:hanging="360"/>
              <w:rPr>
                <w:rFonts w:ascii="Calibri" w:hAnsi="Calibri" w:cs="Arial" w:asciiTheme="minorHAnsi" w:hAnsiTheme="minorHAnsi"/>
              </w:rPr>
            </w:pPr>
            <w:r>
              <w:rPr>
                <w:rFonts w:cs="Arial"/>
              </w:rPr>
              <w:t>A satisfactory Enhanced Disclosure from the DBS.</w:t>
            </w:r>
            <w:r/>
          </w:p>
        </w:tc>
        <w:tc>
          <w:tcPr>
            <w:tcW w:w="4954" w:type="dxa"/>
            <w:tcBorders/>
            <w:shd w:fill="auto" w:val="clear"/>
            <w:tcMar>
              <w:left w:w="108" w:type="dxa"/>
            </w:tcMar>
          </w:tcPr>
          <w:p>
            <w:pPr>
              <w:pStyle w:val="ListParagraph"/>
              <w:ind w:left="454" w:hanging="0"/>
              <w:rPr>
                <w:rFonts w:ascii="Calibri" w:hAnsi="Calibri" w:eastAsia="Calibri" w:cs="Arial" w:asciiTheme="minorHAnsi" w:hAnsiTheme="minorHAnsi"/>
              </w:rPr>
            </w:pPr>
            <w:r>
              <w:rPr>
                <w:rFonts w:cs="Arial"/>
              </w:rPr>
            </w:r>
            <w:r/>
          </w:p>
        </w:tc>
      </w:tr>
    </w:tbl>
    <w:p>
      <w:pPr>
        <w:pStyle w:val="Normal"/>
      </w:pPr>
      <w:r>
        <w:rPr/>
      </w:r>
      <w:r/>
    </w:p>
    <w:p>
      <w:pPr>
        <w:pStyle w:val="Default"/>
        <w:rPr>
          <w:sz w:val="22"/>
          <w:sz w:val="22"/>
          <w:szCs w:val="22"/>
          <w:rFonts w:ascii="ITC Stone Serif Com" w:hAnsi="ITC Stone Serif Com" w:cs="ITC Stone Serif Com"/>
          <w:color w:val="000000"/>
        </w:rPr>
      </w:pPr>
      <w:r>
        <w:rPr>
          <w:sz w:val="22"/>
          <w:szCs w:val="22"/>
        </w:rPr>
      </w:r>
      <w:r/>
    </w:p>
    <w:p>
      <w:pPr>
        <w:pStyle w:val="Normal"/>
      </w:pPr>
      <w:r>
        <w:rPr/>
      </w:r>
      <w:r/>
    </w:p>
    <w:sectPr>
      <w:type w:val="nextPage"/>
      <w:pgSz w:w="11906" w:h="16838"/>
      <w:pgMar w:left="851" w:right="851"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ITC Stone Serif Com">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Pr>
    <w:r>
      <w:rPr/>
      <w:drawing>
        <wp:anchor behindDoc="1" distT="0" distB="0" distL="114300" distR="114300" simplePos="0" locked="0" layoutInCell="1" allowOverlap="1" relativeHeight="3">
          <wp:simplePos x="0" y="0"/>
          <wp:positionH relativeFrom="column">
            <wp:posOffset>-246380</wp:posOffset>
          </wp:positionH>
          <wp:positionV relativeFrom="paragraph">
            <wp:posOffset>-190500</wp:posOffset>
          </wp:positionV>
          <wp:extent cx="586105" cy="44196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586105" cy="441960"/>
                  </a:xfrm>
                  <a:prstGeom prst="rect">
                    <a:avLst/>
                  </a:prstGeom>
                  <a:noFill/>
                  <a:ln w="9525">
                    <a:noFill/>
                    <a:miter lim="800000"/>
                    <a:headEnd/>
                    <a:tailEnd/>
                  </a:ln>
                </pic:spPr>
              </pic:pic>
            </a:graphicData>
          </a:graphic>
        </wp:anchor>
      </w:drawing>
    </w:r>
    <w:r>
      <mc:AlternateContent>
        <mc:Choice Requires="wps">
          <w:drawing>
            <wp:anchor behindDoc="1" distT="0" distB="0" distL="118745" distR="118745" simplePos="0" locked="0" layoutInCell="1" allowOverlap="1" relativeHeight="2" wp14:anchorId="3D146B38">
              <wp:simplePos x="0" y="0"/>
              <wp:positionH relativeFrom="margin">
                <wp:posOffset>-253365</wp:posOffset>
              </wp:positionH>
              <wp:positionV relativeFrom="page">
                <wp:posOffset>238760</wp:posOffset>
              </wp:positionV>
              <wp:extent cx="6979920" cy="477520"/>
              <wp:effectExtent l="0" t="0" r="0" b="0"/>
              <wp:wrapSquare wrapText="bothSides"/>
              <wp:docPr id="2" name="Rectangle 197"/>
              <a:graphic xmlns:a="http://schemas.openxmlformats.org/drawingml/2006/main">
                <a:graphicData uri="http://schemas.microsoft.com/office/word/2010/wordprocessingShape">
                  <wps:wsp>
                    <wps:cNvSpPr txBox="1"/>
                    <wps:spPr>
                      <a:xfrm>
                        <a:off x="0" y="0"/>
                        <a:ext cx="6979920" cy="477520"/>
                      </a:xfrm>
                      <a:prstGeom prst="rect"/>
                      <a:solidFill>
                        <a:srgbClr val="373B71"/>
                      </a:solidFill>
                    </wps:spPr>
                    <wps:txbx>
                      <w:txbxContent>
                        <w:p>
                          <w:pPr>
                            <w:pStyle w:val="Header"/>
                            <w:tabs>
                              <w:tab w:val="right" w:pos="9026" w:leader="none"/>
                            </w:tabs>
                            <w:ind w:left="1134" w:hanging="0"/>
                            <w:rPr>
                              <w:caps/>
                              <w:color w:val="FFFFFF" w:themeColor="background1"/>
                            </w:rPr>
                          </w:pPr>
                          <w:sdt>
                            <w:sdtPr/>
                            <w:sdtContent>
                              <w:r>
                                <w:rPr>
                                  <w:caps/>
                                  <w:color w:val="FFFFFF" w:themeColor="background1"/>
                                </w:rPr>
                                <w:t xml:space="preserve">     </w:t>
                              </w:r>
                            </w:sdtContent>
                          </w:sdt>
                        </w:p>
                      </w:txbxContent>
                    </wps:txbx>
                    <wps:bodyPr anchor="ctr" lIns="91440" tIns="45720" rIns="91440" bIns="45720">
                      <a:noAutofit/>
                    </wps:bodyPr>
                  </wps:wsp>
                </a:graphicData>
              </a:graphic>
            </wp:anchor>
          </w:drawing>
        </mc:Choice>
        <mc:Fallback>
          <w:pict>
            <v:rect fillcolor="#373B71" stroked="f" strokeweight="0pt" style="position:absolute;width:549.6pt;height:37.6pt;mso-wrap-distance-left:9.35pt;mso-wrap-distance-right:9.35pt;mso-wrap-distance-top:0pt;mso-wrap-distance-bottom:0pt;margin-top:18.8pt;mso-position-vertical-relative:page;margin-left:-19.95pt;mso-position-horizontal-relative:margin" w14:anchorId="3D146B38">
              <v:textbox>
                <w:txbxContent>
                  <w:p>
                    <w:pPr>
                      <w:pStyle w:val="Header"/>
                      <w:tabs>
                        <w:tab w:val="right" w:pos="9026" w:leader="none"/>
                      </w:tabs>
                      <w:ind w:left="1134" w:hanging="0"/>
                      <w:rPr>
                        <w:caps/>
                        <w:color w:val="FFFFFF" w:themeColor="background1"/>
                      </w:rPr>
                    </w:pPr>
                    <w:sdt>
                      <w:sdtPr>
                        <w:text/>
                        <w:dataBinding w:storeItemID="{6C3C8BC8-F283-45AE-878A-BAB7291924A1}" w:xpath="/ns1:coreProperties[1]/ns0:title[1]" w:prefixMappings="xmlns:ns0='http://purl.org/dc/elements/1.1/' xmlns:ns1='http://schemas.openxmlformats.org/package/2006/metadata/core-properties' "/>
                      </w:sdtPr>
                      <w:sdtContent>
                        <w:r>
                          <w:rPr>
                            <w:caps/>
                            <w:color w:val="FFFFFF" w:themeColor="background1"/>
                          </w:rPr>
                          <w:t xml:space="preserve">     </w:t>
                        </w:r>
                      </w:sdtContent>
                    </w:sdt>
                  </w:p>
                </w:txbxContent>
              </v:textbox>
              <w10:wrap type="square"/>
            </v:rect>
          </w:pict>
        </mc:Fallback>
      </mc:AlternateConten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rsid w:val="00d84cb9"/>
    <w:rPr/>
  </w:style>
  <w:style w:type="character" w:styleId="FooterChar" w:customStyle="1">
    <w:name w:val="Footer Char"/>
    <w:basedOn w:val="DefaultParagraphFont"/>
    <w:link w:val="Footer"/>
    <w:uiPriority w:val="99"/>
    <w:rsid w:val="00d84cb9"/>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Header">
    <w:name w:val="Header"/>
    <w:basedOn w:val="Normal"/>
    <w:link w:val="HeaderChar"/>
    <w:uiPriority w:val="99"/>
    <w:unhideWhenUsed/>
    <w:rsid w:val="00d84cb9"/>
    <w:pPr>
      <w:tabs>
        <w:tab w:val="center" w:pos="4513" w:leader="none"/>
        <w:tab w:val="right" w:pos="9026" w:leader="none"/>
      </w:tabs>
    </w:pPr>
    <w:rPr/>
  </w:style>
  <w:style w:type="paragraph" w:styleId="Footer">
    <w:name w:val="Footer"/>
    <w:basedOn w:val="Normal"/>
    <w:link w:val="FooterChar"/>
    <w:uiPriority w:val="99"/>
    <w:unhideWhenUsed/>
    <w:rsid w:val="00d84cb9"/>
    <w:pPr>
      <w:tabs>
        <w:tab w:val="center" w:pos="4513" w:leader="none"/>
        <w:tab w:val="right" w:pos="9026" w:leader="none"/>
      </w:tabs>
    </w:pPr>
    <w:rPr/>
  </w:style>
  <w:style w:type="paragraph" w:styleId="ListParagraph">
    <w:name w:val="List Paragraph"/>
    <w:basedOn w:val="Normal"/>
    <w:uiPriority w:val="34"/>
    <w:qFormat/>
    <w:rsid w:val="00ea284a"/>
    <w:pPr>
      <w:ind w:left="720" w:hanging="0"/>
    </w:pPr>
    <w:rPr>
      <w:rFonts w:ascii="Calibri" w:hAnsi="Calibri" w:eastAsia="Calibri" w:cs="Calibri"/>
    </w:rPr>
  </w:style>
  <w:style w:type="paragraph" w:styleId="Default" w:customStyle="1">
    <w:name w:val="Default"/>
    <w:rsid w:val="004c55f8"/>
    <w:pPr>
      <w:widowControl/>
      <w:suppressAutoHyphens w:val="true"/>
      <w:bidi w:val="0"/>
      <w:jc w:val="left"/>
    </w:pPr>
    <w:rPr>
      <w:rFonts w:ascii="ITC Stone Serif Com" w:hAnsi="ITC Stone Serif Com" w:cs="ITC Stone Serif Com" w:eastAsia="Calibri"/>
      <w:color w:val="000000"/>
      <w:sz w:val="24"/>
      <w:szCs w:val="24"/>
      <w:lang w:val="en-GB" w:eastAsia="en-US" w:bidi="ar-SA"/>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ea284a"/>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C858D331</Template>
  <TotalTime>0</TotalTime>
  <Application>LibreOffice/4.3.3.2$Windows_x86 LibreOffice_project/9bb7eadab57b6755b1265afa86e04bf45fbfc644</Application>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2019-05-07T11:26:00Z</dcterms:created>
  <dc:creator>Ireland, Paul (Woldingham School)</dc:creator>
  <dc:language>en-GB</dc:language>
  <cp:lastModifiedBy>Sarai, Ameeth (Woldingham School)</cp:lastModifiedBy>
  <dcterms:modified xsi:type="dcterms:W3CDTF">2019-05-07T11:26:00Z</dcterms:modified>
  <cp:revision>2</cp:revision>
</cp:coreProperties>
</file>