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Please read this infor</w:t>
      </w:r>
      <w:bookmarkStart w:id="0" w:name="_GoBack"/>
      <w:bookmarkEnd w:id="0"/>
      <w:r>
        <w:rPr>
          <w:rFonts w:ascii="Arial Bold" w:hAnsi="Arial Bold" w:cs="Arial Bold"/>
          <w:color w:val="070707"/>
          <w:spacing w:val="-3"/>
        </w:rPr>
        <w:t xml:space="preserve">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w:t>
      </w:r>
      <w:proofErr w:type="gramStart"/>
      <w:r>
        <w:rPr>
          <w:rFonts w:ascii="Arial Bold" w:hAnsi="Arial Bold" w:cs="Arial Bold"/>
          <w:color w:val="070707"/>
          <w:spacing w:val="-2"/>
        </w:rPr>
        <w:t>in  large</w:t>
      </w:r>
      <w:proofErr w:type="gramEnd"/>
      <w:r>
        <w:rPr>
          <w:rFonts w:ascii="Arial Bold" w:hAnsi="Arial Bold" w:cs="Arial Bold"/>
          <w:color w:val="070707"/>
          <w:spacing w:val="-2"/>
        </w:rPr>
        <w:t xml:space="preserv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proofErr w:type="gramStart"/>
      <w:r w:rsidR="006F024D">
        <w:rPr>
          <w:rFonts w:ascii="Arial Bold" w:hAnsi="Arial Bold" w:cs="Arial Bold"/>
          <w:color w:val="070707"/>
          <w:spacing w:val="-2"/>
        </w:rPr>
        <w:t>Section  titled</w:t>
      </w:r>
      <w:proofErr w:type="gramEnd"/>
      <w:r w:rsidR="006F024D">
        <w:rPr>
          <w:rFonts w:ascii="Arial Bold" w:hAnsi="Arial Bold" w:cs="Arial Bold"/>
          <w:color w:val="070707"/>
          <w:spacing w:val="-2"/>
        </w:rPr>
        <w:t xml:space="preserve">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501BB2"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Certificate of Application issued by the Home Office or the Border Agency to or for a family </w:t>
      </w:r>
      <w:r w:rsidRPr="000B78BC">
        <w:rPr>
          <w:rFonts w:ascii="Arial" w:hAnsi="Arial" w:cs="Arial"/>
          <w:color w:val="070707"/>
          <w:spacing w:val="-3"/>
        </w:rPr>
        <w:lastRenderedPageBreak/>
        <w:t>member of a national of a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lastRenderedPageBreak/>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6" w:rsidRDefault="00501BB2">
    <w:pPr>
      <w:pStyle w:val="Header"/>
    </w:pPr>
    <w:r>
      <w:rPr>
        <w:noProof/>
      </w:rPr>
      <w:t xml:space="preserve">                </w:t>
    </w:r>
    <w:r>
      <w:rPr>
        <w:noProof/>
      </w:rPr>
      <w:drawing>
        <wp:inline distT="0" distB="0" distL="0" distR="0">
          <wp:extent cx="1794736" cy="629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logo.jpg"/>
                  <pic:cNvPicPr/>
                </pic:nvPicPr>
                <pic:blipFill>
                  <a:blip r:embed="rId1">
                    <a:extLst>
                      <a:ext uri="{28A0092B-C50C-407E-A947-70E740481C1C}">
                        <a14:useLocalDpi xmlns:a14="http://schemas.microsoft.com/office/drawing/2010/main" val="0"/>
                      </a:ext>
                    </a:extLst>
                  </a:blip>
                  <a:stretch>
                    <a:fillRect/>
                  </a:stretch>
                </pic:blipFill>
                <pic:spPr>
                  <a:xfrm>
                    <a:off x="0" y="0"/>
                    <a:ext cx="1831073" cy="641844"/>
                  </a:xfrm>
                  <a:prstGeom prst="rect">
                    <a:avLst/>
                  </a:prstGeom>
                </pic:spPr>
              </pic:pic>
            </a:graphicData>
          </a:graphic>
        </wp:inline>
      </w:drawing>
    </w:r>
    <w:r>
      <w:rPr>
        <w:noProof/>
      </w:rPr>
      <w:t xml:space="preserve">                                                                                 </w:t>
    </w:r>
    <w:r w:rsidR="00240756" w:rsidRPr="00240756">
      <w:rPr>
        <w:noProof/>
      </w:rPr>
      <w:drawing>
        <wp:inline distT="0" distB="0" distL="0" distR="0">
          <wp:extent cx="1513855" cy="603809"/>
          <wp:effectExtent l="0" t="0" r="0" b="635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55" cy="603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40756"/>
    <w:rsid w:val="00254A95"/>
    <w:rsid w:val="003173B1"/>
    <w:rsid w:val="00391A65"/>
    <w:rsid w:val="0050126F"/>
    <w:rsid w:val="00501BB2"/>
    <w:rsid w:val="005B6E05"/>
    <w:rsid w:val="006F024D"/>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14:docId w14:val="22082488"/>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J RISHTON</cp:lastModifiedBy>
  <cp:revision>3</cp:revision>
  <cp:lastPrinted>2017-03-06T13:40:00Z</cp:lastPrinted>
  <dcterms:created xsi:type="dcterms:W3CDTF">2018-09-10T15:23:00Z</dcterms:created>
  <dcterms:modified xsi:type="dcterms:W3CDTF">2019-01-22T11:36:00Z</dcterms:modified>
</cp:coreProperties>
</file>