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color w:val="0000ff"/>
          <w:sz w:val="22"/>
          <w:szCs w:val="22"/>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spacing w:after="120" w:before="120" w:lineRule="auto"/>
        <w:ind w:left="36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Lead Teacher - Whole School Teaching and Learning Science</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Kingswood Academy, Wawne Road, Hull, HU7 4WR</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 Time</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Assistant Headteacher</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numPr>
          <w:ilvl w:val="0"/>
          <w:numId w:val="10"/>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the ‘Assistant Headteacher – Teaching and Learning’ to continually and sustainably improve the standards of teaching and learning across the academy.</w:t>
      </w:r>
    </w:p>
    <w:p w:rsidR="00000000" w:rsidDel="00000000" w:rsidP="00000000" w:rsidRDefault="00000000" w:rsidRPr="00000000" w14:paraId="00000010">
      <w:pPr>
        <w:numPr>
          <w:ilvl w:val="0"/>
          <w:numId w:val="10"/>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PT Sans" w:cs="PT Sans" w:eastAsia="PT Sans" w:hAnsi="PT Sans"/>
          <w:sz w:val="22"/>
          <w:szCs w:val="22"/>
          <w:rtl w:val="0"/>
        </w:rPr>
        <w:t xml:space="preserve">Delivery of a consistently high quality of teaching, learning, assessment and high standards of achievement in Science.</w:t>
      </w:r>
      <w:r w:rsidDel="00000000" w:rsidR="00000000" w:rsidRPr="00000000">
        <w:rPr>
          <w:rtl w:val="0"/>
        </w:rPr>
      </w:r>
    </w:p>
    <w:p w:rsidR="00000000" w:rsidDel="00000000" w:rsidP="00000000" w:rsidRDefault="00000000" w:rsidRPr="00000000" w14:paraId="00000011">
      <w:pPr>
        <w:numPr>
          <w:ilvl w:val="0"/>
          <w:numId w:val="10"/>
        </w:numPr>
        <w:spacing w:after="240" w:lineRule="auto"/>
        <w:ind w:left="720" w:hanging="360"/>
        <w:rPr>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4">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Details of key responsibilities for the Whole School Teaching and Learning – Science:</w:t>
      </w:r>
    </w:p>
    <w:p w:rsidR="00000000" w:rsidDel="00000000" w:rsidP="00000000" w:rsidRDefault="00000000" w:rsidRPr="00000000" w14:paraId="00000015">
      <w:pPr>
        <w:numPr>
          <w:ilvl w:val="0"/>
          <w:numId w:val="4"/>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Live and breathe our vision and key drivers;</w:t>
      </w:r>
    </w:p>
    <w:p w:rsidR="00000000" w:rsidDel="00000000" w:rsidP="00000000" w:rsidRDefault="00000000" w:rsidRPr="00000000" w14:paraId="0000001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Rapidly and sustainably improve the quality of teaching and learning across the academy;</w:t>
      </w:r>
    </w:p>
    <w:p w:rsidR="00000000" w:rsidDel="00000000" w:rsidP="00000000" w:rsidRDefault="00000000" w:rsidRPr="00000000" w14:paraId="0000001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quality ‘continued professional development’ for teaching and learning via the IRIS system and CPD schedule;</w:t>
      </w:r>
    </w:p>
    <w:p w:rsidR="00000000" w:rsidDel="00000000" w:rsidP="00000000" w:rsidRDefault="00000000" w:rsidRPr="00000000" w14:paraId="0000001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Lead members of the Teaching &amp; Learning Group to improve the quality of teaching and learning and marking and feedback across the academy;</w:t>
      </w:r>
    </w:p>
    <w:p w:rsidR="00000000" w:rsidDel="00000000" w:rsidP="00000000" w:rsidRDefault="00000000" w:rsidRPr="00000000" w14:paraId="00000019">
      <w:pPr>
        <w:numPr>
          <w:ilvl w:val="0"/>
          <w:numId w:val="4"/>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Raise achievement of all pupils in all phases of the academy ensuring they consistently make better than expected progress.</w:t>
      </w:r>
    </w:p>
    <w:p w:rsidR="00000000" w:rsidDel="00000000" w:rsidP="00000000" w:rsidRDefault="00000000" w:rsidRPr="00000000" w14:paraId="0000001A">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 </w:t>
      </w:r>
    </w:p>
    <w:p w:rsidR="00000000" w:rsidDel="00000000" w:rsidP="00000000" w:rsidRDefault="00000000" w:rsidRPr="00000000" w14:paraId="0000001B">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Teacher of Science:</w:t>
      </w:r>
    </w:p>
    <w:p w:rsidR="00000000" w:rsidDel="00000000" w:rsidP="00000000" w:rsidRDefault="00000000" w:rsidRPr="00000000" w14:paraId="0000001C">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Key areas:</w:t>
      </w:r>
    </w:p>
    <w:p w:rsidR="00000000" w:rsidDel="00000000" w:rsidP="00000000" w:rsidRDefault="00000000" w:rsidRPr="00000000" w14:paraId="0000001D">
      <w:pPr>
        <w:numPr>
          <w:ilvl w:val="0"/>
          <w:numId w:val="6"/>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Live and breathe our vision and key drivers;</w:t>
      </w:r>
    </w:p>
    <w:p w:rsidR="00000000" w:rsidDel="00000000" w:rsidP="00000000" w:rsidRDefault="00000000" w:rsidRPr="00000000" w14:paraId="0000001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 of a consistently high quality of teaching, learning, assessment and high standards of achievement;</w:t>
      </w:r>
    </w:p>
    <w:p w:rsidR="00000000" w:rsidDel="00000000" w:rsidP="00000000" w:rsidRDefault="00000000" w:rsidRPr="00000000" w14:paraId="0000001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Meet the Kingswood Academy Teaching and Learning Standard and the Kingswood Standard of Marking. Also addressing any underperformance where the standards are not met;</w:t>
      </w:r>
    </w:p>
    <w:p w:rsidR="00000000" w:rsidDel="00000000" w:rsidP="00000000" w:rsidRDefault="00000000" w:rsidRPr="00000000" w14:paraId="0000002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Evaluate student target and performance data for their teaching as required, and ensure it is analysed as set out in the academy calendar or other such documents;</w:t>
      </w:r>
    </w:p>
    <w:p w:rsidR="00000000" w:rsidDel="00000000" w:rsidP="00000000" w:rsidRDefault="00000000" w:rsidRPr="00000000" w14:paraId="0000002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Positively engage and partake in all activities and events on the Kingswood Academy Assessment Calendar;</w:t>
      </w:r>
    </w:p>
    <w:p w:rsidR="00000000" w:rsidDel="00000000" w:rsidP="00000000" w:rsidRDefault="00000000" w:rsidRPr="00000000" w14:paraId="0000002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Demonstrating positive approaches in matters relating to student discipline and contact with parents and so forth;</w:t>
      </w:r>
    </w:p>
    <w:p w:rsidR="00000000" w:rsidDel="00000000" w:rsidP="00000000" w:rsidRDefault="00000000" w:rsidRPr="00000000" w14:paraId="0000002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 in producing and updating programmes of study and schemes of work including suitable assessments for each learning cycle for the Science department;</w:t>
      </w:r>
    </w:p>
    <w:p w:rsidR="00000000" w:rsidDel="00000000" w:rsidP="00000000" w:rsidRDefault="00000000" w:rsidRPr="00000000" w14:paraId="0000002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there is an atmosphere conducive to quality learning within the curriculum area, and that students’ experiences are challenging, stimulating and differentiated according to need;</w:t>
      </w:r>
    </w:p>
    <w:p w:rsidR="00000000" w:rsidDel="00000000" w:rsidP="00000000" w:rsidRDefault="00000000" w:rsidRPr="00000000" w14:paraId="0000002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provision for different groups of students within the subject, including SEND, higher ability, disadvantaged, etc.;</w:t>
      </w:r>
    </w:p>
    <w:p w:rsidR="00000000" w:rsidDel="00000000" w:rsidP="00000000" w:rsidRDefault="00000000" w:rsidRPr="00000000" w14:paraId="0000002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lessons taught conform to good practice as identified in the academy wide or department development plan;</w:t>
      </w:r>
    </w:p>
    <w:p w:rsidR="00000000" w:rsidDel="00000000" w:rsidP="00000000" w:rsidRDefault="00000000" w:rsidRPr="00000000" w14:paraId="0000002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an active member of the Faculty through involvement in course development, consultation and planning on whole Academy issues;</w:t>
      </w:r>
    </w:p>
    <w:p w:rsidR="00000000" w:rsidDel="00000000" w:rsidP="00000000" w:rsidRDefault="00000000" w:rsidRPr="00000000" w14:paraId="0000002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undertake other tasks as appropriate and consistent with the Teachers’ Pay and Conditions of service;</w:t>
      </w:r>
    </w:p>
    <w:p w:rsidR="00000000" w:rsidDel="00000000" w:rsidP="00000000" w:rsidRDefault="00000000" w:rsidRPr="00000000" w14:paraId="0000002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All staff who are appointed to the Academy are expected to teach across the age and ability range;</w:t>
      </w:r>
    </w:p>
    <w:p w:rsidR="00000000" w:rsidDel="00000000" w:rsidP="00000000" w:rsidRDefault="00000000" w:rsidRPr="00000000" w14:paraId="0000002A">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teachers are expected to act as an Academic Mentor in accordance with the Academy requirements;</w:t>
      </w:r>
    </w:p>
    <w:p w:rsidR="00000000" w:rsidDel="00000000" w:rsidP="00000000" w:rsidRDefault="00000000" w:rsidRPr="00000000" w14:paraId="0000002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are expected to develop the Academy’s commitment to the principle of equal value and work to achieve the aims of the Academy mission statement;</w:t>
      </w:r>
    </w:p>
    <w:p w:rsidR="00000000" w:rsidDel="00000000" w:rsidP="00000000" w:rsidRDefault="00000000" w:rsidRPr="00000000" w14:paraId="0000002C">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are expected to participate in opportunities for collective decision making including staff appointment and policy making;</w:t>
      </w:r>
    </w:p>
    <w:p w:rsidR="00000000" w:rsidDel="00000000" w:rsidP="00000000" w:rsidRDefault="00000000" w:rsidRPr="00000000" w14:paraId="0000002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All staff are expected to take a whole Academy perspective in monitoring student behaviour outside the classroom paying particular attention to care and respect of the environment, adherence to expectations, uniform and time keeping;</w:t>
      </w:r>
    </w:p>
    <w:p w:rsidR="00000000" w:rsidDel="00000000" w:rsidP="00000000" w:rsidRDefault="00000000" w:rsidRPr="00000000" w14:paraId="0000002E">
      <w:pPr>
        <w:numPr>
          <w:ilvl w:val="0"/>
          <w:numId w:val="6"/>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Such other duties as may be required by the Headteacher.</w:t>
      </w:r>
    </w:p>
    <w:p w:rsidR="00000000" w:rsidDel="00000000" w:rsidP="00000000" w:rsidRDefault="00000000" w:rsidRPr="00000000" w14:paraId="0000002F">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 </w:t>
      </w:r>
    </w:p>
    <w:p w:rsidR="00000000" w:rsidDel="00000000" w:rsidP="00000000" w:rsidRDefault="00000000" w:rsidRPr="00000000" w14:paraId="00000030">
      <w:pPr>
        <w:spacing w:after="240" w:before="240" w:lineRule="auto"/>
        <w:rPr>
          <w:rFonts w:ascii="PT Sans" w:cs="PT Sans" w:eastAsia="PT Sans" w:hAnsi="PT Sans"/>
          <w:sz w:val="22"/>
          <w:szCs w:val="22"/>
        </w:rPr>
      </w:pPr>
      <w:r w:rsidDel="00000000" w:rsidR="00000000" w:rsidRPr="00000000">
        <w:rPr>
          <w:rFonts w:ascii="PT Sans" w:cs="PT Sans" w:eastAsia="PT Sans" w:hAnsi="PT Sans"/>
          <w:b w:val="1"/>
          <w:sz w:val="22"/>
          <w:szCs w:val="22"/>
          <w:u w:val="single"/>
          <w:rtl w:val="0"/>
        </w:rPr>
        <w:t xml:space="preserve">Academic Mentors are expected to:</w:t>
      </w:r>
      <w:r w:rsidDel="00000000" w:rsidR="00000000" w:rsidRPr="00000000">
        <w:rPr>
          <w:rtl w:val="0"/>
        </w:rPr>
      </w:r>
    </w:p>
    <w:p w:rsidR="00000000" w:rsidDel="00000000" w:rsidP="00000000" w:rsidRDefault="00000000" w:rsidRPr="00000000" w14:paraId="00000031">
      <w:pPr>
        <w:numPr>
          <w:ilvl w:val="0"/>
          <w:numId w:val="7"/>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 and maintain registers of attendance;</w:t>
      </w:r>
    </w:p>
    <w:p w:rsidR="00000000" w:rsidDel="00000000" w:rsidP="00000000" w:rsidRDefault="00000000" w:rsidRPr="00000000" w14:paraId="00000032">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 the Academic Mentoring programme through Academic mentoring (30 mins per day);</w:t>
      </w:r>
    </w:p>
    <w:p w:rsidR="00000000" w:rsidDel="00000000" w:rsidP="00000000" w:rsidRDefault="00000000" w:rsidRPr="00000000" w14:paraId="00000033">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Monitor the academic progress of students, guiding and advising them on areas for improvement;</w:t>
      </w:r>
    </w:p>
    <w:p w:rsidR="00000000" w:rsidDel="00000000" w:rsidP="00000000" w:rsidRDefault="00000000" w:rsidRPr="00000000" w14:paraId="00000034">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and monitor records on students’ behaviour, following up on incidents in lessons while also recognising and rewarding students’ achievements;</w:t>
      </w:r>
    </w:p>
    <w:p w:rsidR="00000000" w:rsidDel="00000000" w:rsidP="00000000" w:rsidRDefault="00000000" w:rsidRPr="00000000" w14:paraId="00000035">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students’ uniform and ensuring they are equipped for lessons;</w:t>
      </w:r>
    </w:p>
    <w:p w:rsidR="00000000" w:rsidDel="00000000" w:rsidP="00000000" w:rsidRDefault="00000000" w:rsidRPr="00000000" w14:paraId="00000036">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Link with parents to help students’ to improve their attendance, punctuality, behaviour and academic progress;</w:t>
      </w:r>
    </w:p>
    <w:p w:rsidR="00000000" w:rsidDel="00000000" w:rsidP="00000000" w:rsidRDefault="00000000" w:rsidRPr="00000000" w14:paraId="00000037">
      <w:pPr>
        <w:numPr>
          <w:ilvl w:val="0"/>
          <w:numId w:val="7"/>
        </w:numPr>
        <w:spacing w:after="240" w:lineRule="auto"/>
        <w:ind w:left="720" w:hanging="360"/>
        <w:rPr/>
      </w:pPr>
      <w:r w:rsidDel="00000000" w:rsidR="00000000" w:rsidRPr="00000000">
        <w:rPr>
          <w:rFonts w:ascii="PT Sans" w:cs="PT Sans" w:eastAsia="PT Sans" w:hAnsi="PT Sans"/>
          <w:sz w:val="22"/>
          <w:szCs w:val="22"/>
          <w:rtl w:val="0"/>
        </w:rPr>
        <w:t xml:space="preserve">Teach elements of the PSHE and ‘Character Education’ scheme of work.</w:t>
      </w:r>
      <w:r w:rsidDel="00000000" w:rsidR="00000000" w:rsidRPr="00000000">
        <w:rPr>
          <w:rtl w:val="0"/>
        </w:rPr>
      </w:r>
    </w:p>
    <w:p w:rsidR="00000000" w:rsidDel="00000000" w:rsidP="00000000" w:rsidRDefault="00000000" w:rsidRPr="00000000" w14:paraId="00000038">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 </w:t>
      </w:r>
    </w:p>
    <w:p w:rsidR="00000000" w:rsidDel="00000000" w:rsidP="00000000" w:rsidRDefault="00000000" w:rsidRPr="00000000" w14:paraId="00000039">
      <w:pPr>
        <w:spacing w:after="240" w:before="240" w:lineRule="auto"/>
        <w:rPr>
          <w:rFonts w:ascii="PT Sans" w:cs="PT Sans" w:eastAsia="PT Sans" w:hAnsi="PT Sans"/>
          <w:sz w:val="22"/>
          <w:szCs w:val="22"/>
        </w:rPr>
      </w:pPr>
      <w:r w:rsidDel="00000000" w:rsidR="00000000" w:rsidRPr="00000000">
        <w:rPr>
          <w:rFonts w:ascii="PT Sans" w:cs="PT Sans" w:eastAsia="PT Sans" w:hAnsi="PT Sans"/>
          <w:b w:val="1"/>
          <w:sz w:val="22"/>
          <w:szCs w:val="22"/>
          <w:u w:val="single"/>
          <w:rtl w:val="0"/>
        </w:rPr>
        <w:t xml:space="preserve">Impact on educational progress beyond assigned pupils</w:t>
      </w:r>
      <w:r w:rsidDel="00000000" w:rsidR="00000000" w:rsidRPr="00000000">
        <w:rPr>
          <w:rtl w:val="0"/>
        </w:rPr>
      </w:r>
    </w:p>
    <w:p w:rsidR="00000000" w:rsidDel="00000000" w:rsidP="00000000" w:rsidRDefault="00000000" w:rsidRPr="00000000" w14:paraId="0000003A">
      <w:pPr>
        <w:numPr>
          <w:ilvl w:val="0"/>
          <w:numId w:val="3"/>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Monitor and evaluate assessment data across their classes to evaluate trends in student performance and issues for development;</w:t>
      </w:r>
    </w:p>
    <w:p w:rsidR="00000000" w:rsidDel="00000000" w:rsidP="00000000" w:rsidRDefault="00000000" w:rsidRPr="00000000" w14:paraId="0000003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 intervention strategies to address issues for development that are identified;</w:t>
      </w:r>
    </w:p>
    <w:p w:rsidR="00000000" w:rsidDel="00000000" w:rsidP="00000000" w:rsidRDefault="00000000" w:rsidRPr="00000000" w14:paraId="0000003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Evaluate and report on the effectiveness of intervention strategies used to address identified issues;</w:t>
      </w:r>
    </w:p>
    <w:p w:rsidR="00000000" w:rsidDel="00000000" w:rsidP="00000000" w:rsidRDefault="00000000" w:rsidRPr="00000000" w14:paraId="0000003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Identify quantifiable and challenging pupil progress target levels and objectives;</w:t>
      </w:r>
    </w:p>
    <w:p w:rsidR="00000000" w:rsidDel="00000000" w:rsidP="00000000" w:rsidRDefault="00000000" w:rsidRPr="00000000" w14:paraId="0000003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Plan appropriate strategies to achieve pupil progress targets and objectives;</w:t>
      </w:r>
    </w:p>
    <w:p w:rsidR="00000000" w:rsidDel="00000000" w:rsidP="00000000" w:rsidRDefault="00000000" w:rsidRPr="00000000" w14:paraId="0000003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agreed student target grades levels are achieved or exceeded;</w:t>
      </w:r>
    </w:p>
    <w:p w:rsidR="00000000" w:rsidDel="00000000" w:rsidP="00000000" w:rsidRDefault="00000000" w:rsidRPr="00000000" w14:paraId="00000040">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Encourage students’ motivation and enthusiasm, developing positive responses to challenge and high expectations;</w:t>
      </w:r>
    </w:p>
    <w:p w:rsidR="00000000" w:rsidDel="00000000" w:rsidP="00000000" w:rsidRDefault="00000000" w:rsidRPr="00000000" w14:paraId="00000041">
      <w:pPr>
        <w:numPr>
          <w:ilvl w:val="0"/>
          <w:numId w:val="3"/>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Monitor the objectives and targets for students with SEN and promote the importance of raising their achievement.</w:t>
      </w:r>
    </w:p>
    <w:p w:rsidR="00000000" w:rsidDel="00000000" w:rsidP="00000000" w:rsidRDefault="00000000" w:rsidRPr="00000000" w14:paraId="00000042">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 </w:t>
      </w:r>
    </w:p>
    <w:p w:rsidR="00000000" w:rsidDel="00000000" w:rsidP="00000000" w:rsidRDefault="00000000" w:rsidRPr="00000000" w14:paraId="00000043">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In addition to the above requirements, all Academy leaders are required to:</w:t>
      </w:r>
    </w:p>
    <w:p w:rsidR="00000000" w:rsidDel="00000000" w:rsidP="00000000" w:rsidRDefault="00000000" w:rsidRPr="00000000" w14:paraId="00000044">
      <w:pPr>
        <w:spacing w:after="40" w:before="240"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the ethos of the Academy by:</w:t>
      </w:r>
    </w:p>
    <w:p w:rsidR="00000000" w:rsidDel="00000000" w:rsidP="00000000" w:rsidRDefault="00000000" w:rsidRPr="00000000" w14:paraId="00000045">
      <w:pPr>
        <w:numPr>
          <w:ilvl w:val="0"/>
          <w:numId w:val="1"/>
        </w:numPr>
        <w:spacing w:before="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Being strong teachers in their own right with students of all attainment levels;</w:t>
      </w:r>
    </w:p>
    <w:p w:rsidR="00000000" w:rsidDel="00000000" w:rsidP="00000000" w:rsidRDefault="00000000" w:rsidRPr="00000000" w14:paraId="00000046">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Being a positive leader of ethos, demonstrating a “can-do” solution focused mentality when faced with   any gripes or concerns with other colleagues;</w:t>
      </w:r>
    </w:p>
    <w:p w:rsidR="00000000" w:rsidDel="00000000" w:rsidP="00000000" w:rsidRDefault="00000000" w:rsidRPr="00000000" w14:paraId="00000047">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Being a strong presence wherever they are in the academy;</w:t>
      </w:r>
    </w:p>
    <w:p w:rsidR="00000000" w:rsidDel="00000000" w:rsidP="00000000" w:rsidRDefault="00000000" w:rsidRPr="00000000" w14:paraId="0000004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Modelling high standards in expectations and practice;</w:t>
      </w:r>
    </w:p>
    <w:p w:rsidR="00000000" w:rsidDel="00000000" w:rsidP="00000000" w:rsidRDefault="00000000" w:rsidRPr="00000000" w14:paraId="00000049">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Following Academy policy and promoting policy in all areas and at all times;</w:t>
      </w:r>
    </w:p>
    <w:p w:rsidR="00000000" w:rsidDel="00000000" w:rsidP="00000000" w:rsidRDefault="00000000" w:rsidRPr="00000000" w14:paraId="0000004A">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Dealing immediately with any problem they observe;</w:t>
      </w:r>
    </w:p>
    <w:p w:rsidR="00000000" w:rsidDel="00000000" w:rsidP="00000000" w:rsidRDefault="00000000" w:rsidRPr="00000000" w14:paraId="0000004B">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Being positive and proactive in seeking solutions to problems and in planning ahead;</w:t>
      </w:r>
    </w:p>
    <w:p w:rsidR="00000000" w:rsidDel="00000000" w:rsidP="00000000" w:rsidRDefault="00000000" w:rsidRPr="00000000" w14:paraId="0000004C">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Constantly looking for ways to improve and innovate in education;</w:t>
      </w:r>
    </w:p>
    <w:p w:rsidR="00000000" w:rsidDel="00000000" w:rsidP="00000000" w:rsidRDefault="00000000" w:rsidRPr="00000000" w14:paraId="0000004D">
      <w:pPr>
        <w:numPr>
          <w:ilvl w:val="0"/>
          <w:numId w:val="1"/>
        </w:numPr>
        <w:spacing w:after="240"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Seeking the highest standards possible and sharing them with others</w:t>
      </w:r>
      <w:r w:rsidDel="00000000" w:rsidR="00000000" w:rsidRPr="00000000">
        <w:rPr>
          <w:rFonts w:ascii="PT Sans" w:cs="PT Sans" w:eastAsia="PT Sans" w:hAnsi="PT Sans"/>
          <w:b w:val="1"/>
          <w:sz w:val="22"/>
          <w:szCs w:val="22"/>
          <w:u w:val="single"/>
          <w:rtl w:val="0"/>
        </w:rPr>
        <w:t xml:space="preserve">.</w:t>
      </w:r>
      <w:r w:rsidDel="00000000" w:rsidR="00000000" w:rsidRPr="00000000">
        <w:rPr>
          <w:rtl w:val="0"/>
        </w:rPr>
      </w:r>
    </w:p>
    <w:p w:rsidR="00000000" w:rsidDel="00000000" w:rsidP="00000000" w:rsidRDefault="00000000" w:rsidRPr="00000000" w14:paraId="0000004E">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 </w:t>
      </w:r>
    </w:p>
    <w:p w:rsidR="00000000" w:rsidDel="00000000" w:rsidP="00000000" w:rsidRDefault="00000000" w:rsidRPr="00000000" w14:paraId="0000004F">
      <w:pPr>
        <w:spacing w:after="240" w:before="240" w:lineRule="auto"/>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Kingswood Academy Mission</w:t>
      </w:r>
    </w:p>
    <w:p w:rsidR="00000000" w:rsidDel="00000000" w:rsidP="00000000" w:rsidRDefault="00000000" w:rsidRPr="00000000" w14:paraId="00000050">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sz w:val="22"/>
          <w:szCs w:val="22"/>
          <w:rtl w:val="0"/>
        </w:rPr>
        <w:t xml:space="preserve">Ultimately our Mission is to ensure that: ‘all students have an inner-belief and ambition to fulfil their dreams and live a happy and successful life.’ We are passionate about our students ‘recognising their academic worth’ and making sure that they are ‘prepared to make bold choices in order to secure places, and thrive, at the most reputable and highest performing colleges, universities and world-class employers.</w:t>
      </w:r>
      <w:r w:rsidDel="00000000" w:rsidR="00000000" w:rsidRPr="00000000">
        <w:rPr>
          <w:rFonts w:ascii="PT Sans" w:cs="PT Sans" w:eastAsia="PT Sans" w:hAnsi="PT Sans"/>
          <w:b w:val="1"/>
          <w:sz w:val="22"/>
          <w:szCs w:val="22"/>
          <w:u w:val="single"/>
          <w:rtl w:val="0"/>
        </w:rPr>
        <w:t xml:space="preserve">’</w:t>
      </w:r>
    </w:p>
    <w:p w:rsidR="00000000" w:rsidDel="00000000" w:rsidP="00000000" w:rsidRDefault="00000000" w:rsidRPr="00000000" w14:paraId="00000051">
      <w:pPr>
        <w:spacing w:after="240" w:before="240"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 </w:t>
      </w:r>
    </w:p>
    <w:p w:rsidR="00000000" w:rsidDel="00000000" w:rsidP="00000000" w:rsidRDefault="00000000" w:rsidRPr="00000000" w14:paraId="00000052">
      <w:pPr>
        <w:spacing w:after="240" w:before="240" w:lineRule="auto"/>
        <w:rPr>
          <w:rFonts w:ascii="PT Sans" w:cs="PT Sans" w:eastAsia="PT Sans" w:hAnsi="PT Sans"/>
          <w:sz w:val="22"/>
          <w:szCs w:val="22"/>
        </w:rPr>
      </w:pPr>
      <w:r w:rsidDel="00000000" w:rsidR="00000000" w:rsidRPr="00000000">
        <w:rPr>
          <w:rFonts w:ascii="PT Sans" w:cs="PT Sans" w:eastAsia="PT Sans" w:hAnsi="PT Sans"/>
          <w:b w:val="1"/>
          <w:color w:val="222222"/>
          <w:sz w:val="22"/>
          <w:szCs w:val="22"/>
          <w:u w:val="single"/>
          <w:rtl w:val="0"/>
        </w:rPr>
        <w:t xml:space="preserve">Kingswood Academy Key Drivers</w:t>
      </w:r>
      <w:r w:rsidDel="00000000" w:rsidR="00000000" w:rsidRPr="00000000">
        <w:rPr>
          <w:rtl w:val="0"/>
        </w:rPr>
      </w:r>
    </w:p>
    <w:p w:rsidR="00000000" w:rsidDel="00000000" w:rsidP="00000000" w:rsidRDefault="00000000" w:rsidRPr="00000000" w14:paraId="00000053">
      <w:pPr>
        <w:spacing w:after="240" w:before="240"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live and breathe our key drivers which are:</w:t>
      </w:r>
    </w:p>
    <w:p w:rsidR="00000000" w:rsidDel="00000000" w:rsidP="00000000" w:rsidRDefault="00000000" w:rsidRPr="00000000" w14:paraId="00000054">
      <w:pPr>
        <w:numPr>
          <w:ilvl w:val="1"/>
          <w:numId w:val="8"/>
        </w:numPr>
        <w:spacing w:before="240" w:lineRule="auto"/>
        <w:ind w:left="1440" w:hanging="360"/>
        <w:rPr>
          <w:sz w:val="22"/>
          <w:szCs w:val="22"/>
        </w:rPr>
      </w:pPr>
      <w:r w:rsidDel="00000000" w:rsidR="00000000" w:rsidRPr="00000000">
        <w:rPr>
          <w:rFonts w:ascii="PT Sans" w:cs="PT Sans" w:eastAsia="PT Sans" w:hAnsi="PT Sans"/>
          <w:sz w:val="22"/>
          <w:szCs w:val="22"/>
          <w:rtl w:val="0"/>
        </w:rPr>
        <w:t xml:space="preserve"> The highest expectations</w:t>
      </w:r>
      <w:r w:rsidDel="00000000" w:rsidR="00000000" w:rsidRPr="00000000">
        <w:rPr>
          <w:rtl w:val="0"/>
        </w:rPr>
      </w:r>
    </w:p>
    <w:p w:rsidR="00000000" w:rsidDel="00000000" w:rsidP="00000000" w:rsidRDefault="00000000" w:rsidRPr="00000000" w14:paraId="00000055">
      <w:pPr>
        <w:numPr>
          <w:ilvl w:val="1"/>
          <w:numId w:val="8"/>
        </w:numPr>
        <w:ind w:left="1440" w:hanging="360"/>
        <w:rPr>
          <w:sz w:val="22"/>
          <w:szCs w:val="22"/>
        </w:rPr>
      </w:pPr>
      <w:r w:rsidDel="00000000" w:rsidR="00000000" w:rsidRPr="00000000">
        <w:rPr>
          <w:rFonts w:ascii="PT Sans" w:cs="PT Sans" w:eastAsia="PT Sans" w:hAnsi="PT Sans"/>
          <w:sz w:val="22"/>
          <w:szCs w:val="22"/>
          <w:rtl w:val="0"/>
        </w:rPr>
        <w:t xml:space="preserve"> Never give up</w:t>
      </w:r>
      <w:r w:rsidDel="00000000" w:rsidR="00000000" w:rsidRPr="00000000">
        <w:rPr>
          <w:rtl w:val="0"/>
        </w:rPr>
      </w:r>
    </w:p>
    <w:p w:rsidR="00000000" w:rsidDel="00000000" w:rsidP="00000000" w:rsidRDefault="00000000" w:rsidRPr="00000000" w14:paraId="00000056">
      <w:pPr>
        <w:numPr>
          <w:ilvl w:val="1"/>
          <w:numId w:val="8"/>
        </w:numPr>
        <w:ind w:left="1440" w:hanging="360"/>
        <w:rPr>
          <w:sz w:val="22"/>
          <w:szCs w:val="22"/>
        </w:rPr>
      </w:pPr>
      <w:r w:rsidDel="00000000" w:rsidR="00000000" w:rsidRPr="00000000">
        <w:rPr>
          <w:rFonts w:ascii="PT Sans" w:cs="PT Sans" w:eastAsia="PT Sans" w:hAnsi="PT Sans"/>
          <w:sz w:val="22"/>
          <w:szCs w:val="22"/>
          <w:rtl w:val="0"/>
        </w:rPr>
        <w:t xml:space="preserve"> Everyone is valued</w:t>
      </w:r>
      <w:r w:rsidDel="00000000" w:rsidR="00000000" w:rsidRPr="00000000">
        <w:rPr>
          <w:rtl w:val="0"/>
        </w:rPr>
      </w:r>
    </w:p>
    <w:p w:rsidR="00000000" w:rsidDel="00000000" w:rsidP="00000000" w:rsidRDefault="00000000" w:rsidRPr="00000000" w14:paraId="00000057">
      <w:pPr>
        <w:numPr>
          <w:ilvl w:val="1"/>
          <w:numId w:val="8"/>
        </w:numPr>
        <w:ind w:left="1440" w:hanging="360"/>
        <w:rPr>
          <w:sz w:val="22"/>
          <w:szCs w:val="22"/>
        </w:rPr>
      </w:pPr>
      <w:r w:rsidDel="00000000" w:rsidR="00000000" w:rsidRPr="00000000">
        <w:rPr>
          <w:rFonts w:ascii="PT Sans" w:cs="PT Sans" w:eastAsia="PT Sans" w:hAnsi="PT Sans"/>
          <w:sz w:val="22"/>
          <w:szCs w:val="22"/>
          <w:rtl w:val="0"/>
        </w:rPr>
        <w:t xml:space="preserve">  Value feedback</w:t>
      </w:r>
      <w:r w:rsidDel="00000000" w:rsidR="00000000" w:rsidRPr="00000000">
        <w:rPr>
          <w:rtl w:val="0"/>
        </w:rPr>
      </w:r>
    </w:p>
    <w:p w:rsidR="00000000" w:rsidDel="00000000" w:rsidP="00000000" w:rsidRDefault="00000000" w:rsidRPr="00000000" w14:paraId="00000058">
      <w:pPr>
        <w:numPr>
          <w:ilvl w:val="1"/>
          <w:numId w:val="8"/>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 excuses</w:t>
      </w:r>
    </w:p>
    <w:p w:rsidR="00000000" w:rsidDel="00000000" w:rsidP="00000000" w:rsidRDefault="00000000" w:rsidRPr="00000000" w14:paraId="00000059">
      <w:pPr>
        <w:numPr>
          <w:ilvl w:val="1"/>
          <w:numId w:val="8"/>
        </w:numPr>
        <w:spacing w:after="240" w:lineRule="auto"/>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Outstanding learning</w:t>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5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E">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F">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6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2">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63">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6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6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6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6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68">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6E">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F">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Teachers’ Pay and Conditions. </w:t>
      </w:r>
      <w:r w:rsidDel="00000000" w:rsidR="00000000" w:rsidRPr="00000000">
        <w:rPr>
          <w:rtl w:val="0"/>
        </w:rPr>
      </w:r>
    </w:p>
    <w:p w:rsidR="00000000" w:rsidDel="00000000" w:rsidP="00000000" w:rsidRDefault="00000000" w:rsidRPr="00000000" w14:paraId="0000007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7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72">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73">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7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75">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76">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77">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78">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9">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7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8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w:t>
      </w:r>
    </w:p>
    <w:p w:rsidR="00000000" w:rsidDel="00000000" w:rsidP="00000000" w:rsidRDefault="00000000" w:rsidRPr="00000000" w14:paraId="0000008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B">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8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8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8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8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9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9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92">
            <w:pPr>
              <w:numPr>
                <w:ilvl w:val="0"/>
                <w:numId w:val="9"/>
              </w:numPr>
              <w:spacing w:before="240" w:lineRule="auto"/>
              <w:ind w:left="720" w:hanging="360"/>
              <w:rPr>
                <w:sz w:val="22"/>
                <w:szCs w:val="22"/>
              </w:rPr>
            </w:pPr>
            <w:r w:rsidDel="00000000" w:rsidR="00000000" w:rsidRPr="00000000">
              <w:rPr>
                <w:rFonts w:ascii="PT Sans" w:cs="PT Sans" w:eastAsia="PT Sans" w:hAnsi="PT Sans"/>
                <w:sz w:val="22"/>
                <w:szCs w:val="22"/>
                <w:rtl w:val="0"/>
              </w:rPr>
              <w:t xml:space="preserve">Qualified Teacher Status</w:t>
            </w:r>
          </w:p>
          <w:p w:rsidR="00000000" w:rsidDel="00000000" w:rsidP="00000000" w:rsidRDefault="00000000" w:rsidRPr="00000000" w14:paraId="00000093">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Good honours degree</w:t>
            </w:r>
          </w:p>
          <w:p w:rsidR="00000000" w:rsidDel="00000000" w:rsidP="00000000" w:rsidRDefault="00000000" w:rsidRPr="00000000" w14:paraId="00000094">
            <w:pPr>
              <w:numPr>
                <w:ilvl w:val="0"/>
                <w:numId w:val="9"/>
              </w:numPr>
              <w:ind w:left="720" w:hanging="360"/>
              <w:rPr>
                <w:sz w:val="22"/>
                <w:szCs w:val="22"/>
              </w:rPr>
            </w:pPr>
            <w:r w:rsidDel="00000000" w:rsidR="00000000" w:rsidRPr="00000000">
              <w:rPr>
                <w:rFonts w:ascii="Calibri" w:cs="Calibri" w:eastAsia="Calibri" w:hAnsi="Calibri"/>
                <w:sz w:val="22"/>
                <w:szCs w:val="22"/>
                <w:rtl w:val="0"/>
              </w:rPr>
              <w:t xml:space="preserve">Evidence of recent professional development related to teaching and learning</w:t>
            </w:r>
            <w:r w:rsidDel="00000000" w:rsidR="00000000" w:rsidRPr="00000000">
              <w:rPr>
                <w:rtl w:val="0"/>
              </w:rPr>
            </w:r>
          </w:p>
        </w:tc>
        <w:tc>
          <w:tcPr/>
          <w:p w:rsidR="00000000" w:rsidDel="00000000" w:rsidP="00000000" w:rsidRDefault="00000000" w:rsidRPr="00000000" w14:paraId="00000095">
            <w:pPr>
              <w:numPr>
                <w:ilvl w:val="0"/>
                <w:numId w:val="9"/>
              </w:numPr>
              <w:ind w:left="720" w:hanging="360"/>
              <w:rPr>
                <w:sz w:val="22"/>
                <w:szCs w:val="22"/>
              </w:rPr>
            </w:pPr>
            <w:r w:rsidDel="00000000" w:rsidR="00000000" w:rsidRPr="00000000">
              <w:rPr>
                <w:rtl w:val="0"/>
              </w:rPr>
            </w:r>
          </w:p>
        </w:tc>
      </w:tr>
      <w:tr>
        <w:tc>
          <w:tcPr/>
          <w:p w:rsidR="00000000" w:rsidDel="00000000" w:rsidP="00000000" w:rsidRDefault="00000000" w:rsidRPr="00000000" w14:paraId="0000009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9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numPr>
                <w:ilvl w:val="0"/>
                <w:numId w:val="9"/>
              </w:numPr>
              <w:spacing w:before="240" w:lineRule="auto"/>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T Sans" w:cs="PT Sans" w:eastAsia="PT Sans" w:hAnsi="PT Sans"/>
                <w:sz w:val="22"/>
                <w:szCs w:val="22"/>
                <w:rtl w:val="0"/>
              </w:rPr>
              <w:t xml:space="preserve">Understanding of leading and developing outstanding teaching and learning across a school.</w:t>
            </w:r>
          </w:p>
          <w:p w:rsidR="00000000" w:rsidDel="00000000" w:rsidP="00000000" w:rsidRDefault="00000000" w:rsidRPr="00000000" w14:paraId="0000009A">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Evidence of recent professional development related to teaching and learning</w:t>
            </w:r>
          </w:p>
          <w:p w:rsidR="00000000" w:rsidDel="00000000" w:rsidP="00000000" w:rsidRDefault="00000000" w:rsidRPr="00000000" w14:paraId="0000009B">
            <w:pPr>
              <w:numPr>
                <w:ilvl w:val="0"/>
                <w:numId w:val="9"/>
              </w:numPr>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T Sans" w:cs="PT Sans" w:eastAsia="PT Sans" w:hAnsi="PT Sans"/>
                <w:sz w:val="22"/>
                <w:szCs w:val="22"/>
                <w:rtl w:val="0"/>
              </w:rPr>
              <w:t xml:space="preserve">Ability to deliver KS3 and KS4 Science including experience of delivering excellent outcomes</w:t>
            </w:r>
          </w:p>
          <w:p w:rsidR="00000000" w:rsidDel="00000000" w:rsidP="00000000" w:rsidRDefault="00000000" w:rsidRPr="00000000" w14:paraId="0000009C">
            <w:pPr>
              <w:numPr>
                <w:ilvl w:val="0"/>
                <w:numId w:val="9"/>
              </w:numPr>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T Sans" w:cs="PT Sans" w:eastAsia="PT Sans" w:hAnsi="PT Sans"/>
                <w:sz w:val="22"/>
                <w:szCs w:val="22"/>
                <w:rtl w:val="0"/>
              </w:rPr>
              <w:t xml:space="preserve">Experience of working in a middle leadership role within a secondary school through which you delivered substantial impact on students’ outcomes and/or standards</w:t>
            </w:r>
          </w:p>
          <w:p w:rsidR="00000000" w:rsidDel="00000000" w:rsidP="00000000" w:rsidRDefault="00000000" w:rsidRPr="00000000" w14:paraId="0000009D">
            <w:pPr>
              <w:numPr>
                <w:ilvl w:val="0"/>
                <w:numId w:val="9"/>
              </w:numPr>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T Sans" w:cs="PT Sans" w:eastAsia="PT Sans" w:hAnsi="PT Sans"/>
                <w:sz w:val="22"/>
                <w:szCs w:val="22"/>
                <w:rtl w:val="0"/>
              </w:rPr>
              <w:t xml:space="preserve">Up to date pedagogy, particularly in relation to teaching and learning and overall school effectiveness</w:t>
            </w:r>
          </w:p>
          <w:p w:rsidR="00000000" w:rsidDel="00000000" w:rsidP="00000000" w:rsidRDefault="00000000" w:rsidRPr="00000000" w14:paraId="0000009E">
            <w:pPr>
              <w:numPr>
                <w:ilvl w:val="0"/>
                <w:numId w:val="9"/>
              </w:numPr>
              <w:spacing w:after="240" w:lineRule="auto"/>
              <w:ind w:left="720" w:hanging="360"/>
              <w:rPr>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T Sans" w:cs="PT Sans" w:eastAsia="PT Sans" w:hAnsi="PT Sans"/>
                <w:sz w:val="22"/>
                <w:szCs w:val="22"/>
                <w:rtl w:val="0"/>
              </w:rPr>
              <w:t xml:space="preserve">Understands how high performing teams function and how they can lead initiatives which deliver rapid improvements in pupil outcomes.</w:t>
            </w:r>
          </w:p>
        </w:tc>
        <w:tc>
          <w:tcPr/>
          <w:p w:rsidR="00000000" w:rsidDel="00000000" w:rsidP="00000000" w:rsidRDefault="00000000" w:rsidRPr="00000000" w14:paraId="0000009F">
            <w:pPr>
              <w:numPr>
                <w:ilvl w:val="0"/>
                <w:numId w:val="9"/>
              </w:numPr>
              <w:spacing w:before="240" w:lineRule="auto"/>
              <w:ind w:left="720" w:hanging="360"/>
              <w:rPr>
                <w:sz w:val="22"/>
                <w:szCs w:val="22"/>
              </w:rPr>
            </w:pPr>
            <w:r w:rsidDel="00000000" w:rsidR="00000000" w:rsidRPr="00000000">
              <w:rPr>
                <w:rFonts w:ascii="PT Sans" w:cs="PT Sans" w:eastAsia="PT Sans" w:hAnsi="PT Sans"/>
                <w:sz w:val="22"/>
                <w:szCs w:val="22"/>
                <w:rtl w:val="0"/>
              </w:rPr>
              <w:t xml:space="preserve">Posts in at least one schools, at least one of which was in a challenging urban circumstances</w:t>
            </w:r>
          </w:p>
          <w:p w:rsidR="00000000" w:rsidDel="00000000" w:rsidP="00000000" w:rsidRDefault="00000000" w:rsidRPr="00000000" w14:paraId="000000A0">
            <w:pPr>
              <w:numPr>
                <w:ilvl w:val="0"/>
                <w:numId w:val="9"/>
              </w:numPr>
              <w:ind w:left="720" w:hanging="360"/>
              <w:rPr>
                <w:sz w:val="22"/>
                <w:szCs w:val="22"/>
              </w:rPr>
            </w:pPr>
            <w:r w:rsidDel="00000000" w:rsidR="00000000" w:rsidRPr="00000000">
              <w:rPr>
                <w:rtl w:val="0"/>
              </w:rPr>
            </w:r>
          </w:p>
        </w:tc>
      </w:tr>
      <w:tr>
        <w:tc>
          <w:tcPr>
            <w:vMerge w:val="restart"/>
          </w:tcPr>
          <w:p w:rsidR="00000000" w:rsidDel="00000000" w:rsidP="00000000" w:rsidRDefault="00000000" w:rsidRPr="00000000" w14:paraId="000000A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A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A3">
            <w:pPr>
              <w:numPr>
                <w:ilvl w:val="0"/>
                <w:numId w:val="9"/>
              </w:numPr>
              <w:ind w:left="720" w:hanging="360"/>
              <w:rPr>
                <w:sz w:val="22"/>
                <w:szCs w:val="22"/>
              </w:rPr>
            </w:pPr>
            <w:r w:rsidDel="00000000" w:rsidR="00000000" w:rsidRPr="00000000">
              <w:rPr>
                <w:rtl w:val="0"/>
              </w:rPr>
            </w:r>
          </w:p>
        </w:tc>
        <w:tc>
          <w:tcPr/>
          <w:p w:rsidR="00000000" w:rsidDel="00000000" w:rsidP="00000000" w:rsidRDefault="00000000" w:rsidRPr="00000000" w14:paraId="000000A4">
            <w:pPr>
              <w:numPr>
                <w:ilvl w:val="0"/>
                <w:numId w:val="9"/>
              </w:numPr>
              <w:ind w:left="720" w:hanging="360"/>
              <w:rPr>
                <w:sz w:val="22"/>
                <w:szCs w:val="22"/>
              </w:rPr>
            </w:pPr>
            <w:r w:rsidDel="00000000" w:rsidR="00000000" w:rsidRPr="00000000">
              <w:rPr>
                <w:rtl w:val="0"/>
              </w:rPr>
            </w:r>
          </w:p>
        </w:tc>
      </w:tr>
      <w:tr>
        <w:tc>
          <w:tcPr>
            <w:vMerge w:val="continue"/>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A7">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The ability to think strategically, evaluate options, find the best solutions to problems taking into full account the views of others, and implement changes that lead to improvements in pupil outcomes. </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p w:rsidR="00000000" w:rsidDel="00000000" w:rsidP="00000000" w:rsidRDefault="00000000" w:rsidRPr="00000000" w14:paraId="000000A8">
            <w:pPr>
              <w:numPr>
                <w:ilvl w:val="0"/>
                <w:numId w:val="9"/>
              </w:numPr>
              <w:ind w:left="720" w:hanging="360"/>
              <w:rPr>
                <w:sz w:val="22"/>
                <w:szCs w:val="22"/>
              </w:rPr>
            </w:pPr>
            <w:r w:rsidDel="00000000" w:rsidR="00000000" w:rsidRPr="00000000">
              <w:rPr>
                <w:rtl w:val="0"/>
              </w:rPr>
            </w:r>
          </w:p>
        </w:tc>
      </w:tr>
      <w:t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AB">
            <w:pPr>
              <w:numPr>
                <w:ilvl w:val="0"/>
                <w:numId w:val="9"/>
              </w:numPr>
              <w:ind w:left="720" w:hanging="360"/>
              <w:rPr>
                <w:sz w:val="22"/>
                <w:szCs w:val="22"/>
              </w:rPr>
            </w:pPr>
            <w:r w:rsidDel="00000000" w:rsidR="00000000" w:rsidRPr="00000000">
              <w:rPr>
                <w:rtl w:val="0"/>
              </w:rPr>
            </w:r>
          </w:p>
          <w:p w:rsidR="00000000" w:rsidDel="00000000" w:rsidP="00000000" w:rsidRDefault="00000000" w:rsidRPr="00000000" w14:paraId="000000AC">
            <w:pPr>
              <w:numPr>
                <w:ilvl w:val="0"/>
                <w:numId w:val="9"/>
              </w:numPr>
              <w:ind w:left="720" w:hanging="360"/>
              <w:rPr>
                <w:sz w:val="22"/>
                <w:szCs w:val="22"/>
              </w:rPr>
            </w:pPr>
            <w:r w:rsidDel="00000000" w:rsidR="00000000" w:rsidRPr="00000000">
              <w:rPr>
                <w:rtl w:val="0"/>
              </w:rPr>
            </w:r>
          </w:p>
        </w:tc>
        <w:tc>
          <w:tcPr/>
          <w:p w:rsidR="00000000" w:rsidDel="00000000" w:rsidP="00000000" w:rsidRDefault="00000000" w:rsidRPr="00000000" w14:paraId="000000AD">
            <w:pPr>
              <w:numPr>
                <w:ilvl w:val="0"/>
                <w:numId w:val="9"/>
              </w:numPr>
              <w:ind w:left="720" w:hanging="360"/>
              <w:rPr>
                <w:sz w:val="22"/>
                <w:szCs w:val="22"/>
              </w:rPr>
            </w:pPr>
            <w:r w:rsidDel="00000000" w:rsidR="00000000" w:rsidRPr="00000000">
              <w:rPr>
                <w:rtl w:val="0"/>
              </w:rPr>
            </w:r>
          </w:p>
        </w:tc>
      </w:tr>
      <w:tr>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B0">
            <w:pPr>
              <w:numPr>
                <w:ilvl w:val="0"/>
                <w:numId w:val="9"/>
              </w:numPr>
              <w:spacing w:before="240" w:lineRule="auto"/>
              <w:ind w:left="720" w:hanging="360"/>
              <w:rPr>
                <w:sz w:val="22"/>
                <w:szCs w:val="22"/>
              </w:rPr>
            </w:pPr>
            <w:r w:rsidDel="00000000" w:rsidR="00000000" w:rsidRPr="00000000">
              <w:rPr>
                <w:rFonts w:ascii="PT Sans" w:cs="PT Sans" w:eastAsia="PT Sans" w:hAnsi="PT Sans"/>
                <w:sz w:val="14"/>
                <w:szCs w:val="14"/>
                <w:rtl w:val="0"/>
              </w:rPr>
              <w:t xml:space="preserve"> </w:t>
            </w:r>
            <w:r w:rsidDel="00000000" w:rsidR="00000000" w:rsidRPr="00000000">
              <w:rPr>
                <w:rFonts w:ascii="PT Sans" w:cs="PT Sans" w:eastAsia="PT Sans" w:hAnsi="PT Sans"/>
                <w:sz w:val="22"/>
                <w:szCs w:val="22"/>
                <w:rtl w:val="0"/>
              </w:rPr>
              <w:t xml:space="preserve">Highly motivated and able to inspire others</w:t>
            </w:r>
          </w:p>
          <w:p w:rsidR="00000000" w:rsidDel="00000000" w:rsidP="00000000" w:rsidRDefault="00000000" w:rsidRPr="00000000" w14:paraId="000000B1">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Outstanding Science classroom practitioner</w:t>
            </w:r>
          </w:p>
          <w:p w:rsidR="00000000" w:rsidDel="00000000" w:rsidP="00000000" w:rsidRDefault="00000000" w:rsidRPr="00000000" w14:paraId="000000B2">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3">
            <w:pPr>
              <w:numPr>
                <w:ilvl w:val="0"/>
                <w:numId w:val="9"/>
              </w:numPr>
              <w:ind w:left="720" w:hanging="360"/>
              <w:rPr>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B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B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B6">
            <w:pPr>
              <w:numPr>
                <w:ilvl w:val="0"/>
                <w:numId w:val="9"/>
              </w:numPr>
              <w:spacing w:before="240" w:line="276" w:lineRule="auto"/>
              <w:ind w:left="720" w:hanging="360"/>
              <w:rPr>
                <w:sz w:val="22"/>
                <w:szCs w:val="22"/>
              </w:rPr>
            </w:pPr>
            <w:r w:rsidDel="00000000" w:rsidR="00000000" w:rsidRPr="00000000">
              <w:rPr>
                <w:rFonts w:ascii="PT Sans" w:cs="PT Sans" w:eastAsia="PT Sans" w:hAnsi="PT Sans"/>
                <w:sz w:val="14"/>
                <w:szCs w:val="14"/>
                <w:rtl w:val="0"/>
              </w:rPr>
              <w:t xml:space="preserve"> </w:t>
            </w:r>
            <w:r w:rsidDel="00000000" w:rsidR="00000000" w:rsidRPr="00000000">
              <w:rPr>
                <w:rFonts w:ascii="PT Sans" w:cs="PT Sans" w:eastAsia="PT Sans" w:hAnsi="PT Sans"/>
                <w:sz w:val="22"/>
                <w:szCs w:val="22"/>
                <w:rtl w:val="0"/>
              </w:rPr>
              <w:t xml:space="preserve">Positive, growth mindset</w:t>
            </w:r>
          </w:p>
          <w:p w:rsidR="00000000" w:rsidDel="00000000" w:rsidP="00000000" w:rsidRDefault="00000000" w:rsidRPr="00000000" w14:paraId="000000B7">
            <w:pPr>
              <w:numPr>
                <w:ilvl w:val="0"/>
                <w:numId w:val="9"/>
              </w:numPr>
              <w:spacing w:line="276" w:lineRule="auto"/>
              <w:ind w:left="720" w:hanging="360"/>
              <w:rPr>
                <w:sz w:val="22"/>
                <w:szCs w:val="22"/>
              </w:rPr>
            </w:pPr>
            <w:r w:rsidDel="00000000" w:rsidR="00000000" w:rsidRPr="00000000">
              <w:rPr>
                <w:rFonts w:ascii="PT Sans" w:cs="PT Sans" w:eastAsia="PT Sans" w:hAnsi="PT Sans"/>
                <w:sz w:val="14"/>
                <w:szCs w:val="14"/>
                <w:rtl w:val="0"/>
              </w:rPr>
              <w:t xml:space="preserve"> </w:t>
            </w:r>
            <w:r w:rsidDel="00000000" w:rsidR="00000000" w:rsidRPr="00000000">
              <w:rPr>
                <w:rFonts w:ascii="PT Sans" w:cs="PT Sans" w:eastAsia="PT Sans" w:hAnsi="PT Sans"/>
                <w:sz w:val="22"/>
                <w:szCs w:val="22"/>
                <w:rtl w:val="0"/>
              </w:rPr>
              <w:t xml:space="preserve">Fully aligned to our vision and key drivers</w:t>
            </w:r>
          </w:p>
          <w:p w:rsidR="00000000" w:rsidDel="00000000" w:rsidP="00000000" w:rsidRDefault="00000000" w:rsidRPr="00000000" w14:paraId="000000B8">
            <w:pPr>
              <w:numPr>
                <w:ilvl w:val="0"/>
                <w:numId w:val="9"/>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Ambitious with a dynamic drive to deliver impact</w:t>
            </w:r>
          </w:p>
          <w:p w:rsidR="00000000" w:rsidDel="00000000" w:rsidP="00000000" w:rsidRDefault="00000000" w:rsidRPr="00000000" w14:paraId="000000B9">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B">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C">
            <w:pPr>
              <w:numPr>
                <w:ilvl w:val="0"/>
                <w:numId w:val="9"/>
              </w:numPr>
              <w:ind w:left="720" w:hanging="360"/>
              <w:rPr>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BF">
            <w:pPr>
              <w:numPr>
                <w:ilvl w:val="0"/>
                <w:numId w:val="2"/>
              </w:numPr>
              <w:ind w:left="720" w:hanging="360"/>
              <w:rPr>
                <w:rFonts w:ascii="PT Sans" w:cs="PT Sans" w:eastAsia="PT Sans" w:hAnsi="PT Sans"/>
                <w:sz w:val="22"/>
                <w:szCs w:val="22"/>
              </w:rPr>
            </w:pPr>
            <w:bookmarkStart w:colFirst="0" w:colLast="0" w:name="_30j0zll" w:id="1"/>
            <w:bookmarkEnd w:id="1"/>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C0">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C1">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C2">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C3">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C4">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C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C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C7">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C8">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C9">
            <w:pPr>
              <w:numPr>
                <w:ilvl w:val="0"/>
                <w:numId w:val="9"/>
              </w:numPr>
              <w:ind w:left="720" w:hanging="360"/>
              <w:rPr>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A">
            <w:pPr>
              <w:numPr>
                <w:ilvl w:val="0"/>
                <w:numId w:val="9"/>
              </w:numPr>
              <w:ind w:left="720" w:hanging="360"/>
              <w:rPr>
                <w:sz w:val="22"/>
                <w:szCs w:val="22"/>
              </w:rPr>
            </w:pPr>
            <w:r w:rsidDel="00000000" w:rsidR="00000000" w:rsidRPr="00000000">
              <w:rPr>
                <w:rtl w:val="0"/>
              </w:rPr>
            </w:r>
          </w:p>
        </w:tc>
      </w:tr>
    </w:tbl>
    <w:p w:rsidR="00000000" w:rsidDel="00000000" w:rsidP="00000000" w:rsidRDefault="00000000" w:rsidRPr="00000000" w14:paraId="000000C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C">
      <w:pPr>
        <w:ind w:left="566" w:right="568"/>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pgMar w:bottom="425" w:top="566" w:left="425" w:right="286"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ind w:left="-141" w:hanging="141"/>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ind w:left="992"/>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64674"/>
              <wp:effectExtent b="0" l="0" r="0" t="0"/>
              <wp:wrapTopAndBottom distB="114300" distT="114300"/>
              <wp:docPr id="2" name=""/>
              <a:graphic>
                <a:graphicData uri="http://schemas.microsoft.com/office/word/2010/wordprocessingGroup">
                  <wpg:wgp>
                    <wpg:cNvGrpSpPr/>
                    <wpg:grpSpPr>
                      <a:xfrm>
                        <a:off x="1690291" y="3454566"/>
                        <a:ext cx="7311418" cy="664674"/>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Kingswood-New-Logo-rev.png" id="12" name="Shape 12"/>
                        <pic:cNvPicPr preferRelativeResize="0"/>
                      </pic:nvPicPr>
                      <pic:blipFill>
                        <a:blip r:embed="rId1">
                          <a:alphaModFix/>
                        </a:blip>
                        <a:stretch>
                          <a:fillRect/>
                        </a:stretch>
                      </pic:blipFill>
                      <pic:spPr>
                        <a:xfrm>
                          <a:off x="1766025" y="3528711"/>
                          <a:ext cx="1762652" cy="5026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6467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