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2" w:rsidRPr="00931EC0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0"/>
          <w:szCs w:val="22"/>
        </w:rPr>
      </w:pPr>
      <w:bookmarkStart w:id="0" w:name="_GoBack"/>
      <w:bookmarkEnd w:id="0"/>
    </w:p>
    <w:p w:rsidR="00B834CD" w:rsidRPr="00931EC0" w:rsidRDefault="00B834CD" w:rsidP="00B834CD">
      <w:pPr>
        <w:pStyle w:val="Title"/>
        <w:rPr>
          <w:rFonts w:ascii="Arial" w:hAnsi="Arial" w:cs="Arial"/>
          <w:bCs w:val="0"/>
          <w:sz w:val="20"/>
          <w:szCs w:val="22"/>
        </w:rPr>
      </w:pPr>
      <w:r w:rsidRPr="00931EC0">
        <w:rPr>
          <w:rFonts w:ascii="Arial" w:hAnsi="Arial" w:cs="Arial"/>
          <w:bCs w:val="0"/>
          <w:sz w:val="20"/>
          <w:szCs w:val="22"/>
        </w:rPr>
        <w:t>JOB DESCRIPTION</w:t>
      </w:r>
    </w:p>
    <w:p w:rsidR="00B834CD" w:rsidRPr="00931EC0" w:rsidRDefault="00B834CD" w:rsidP="00B834CD">
      <w:pPr>
        <w:jc w:val="center"/>
        <w:rPr>
          <w:rFonts w:cs="Arial"/>
          <w:b/>
          <w:bCs/>
          <w:sz w:val="20"/>
        </w:rPr>
      </w:pPr>
    </w:p>
    <w:p w:rsidR="00B834CD" w:rsidRDefault="00B834CD" w:rsidP="00B834CD">
      <w:pPr>
        <w:rPr>
          <w:rFonts w:cs="Arial"/>
          <w:sz w:val="20"/>
        </w:rPr>
      </w:pPr>
      <w:r w:rsidRPr="00931EC0">
        <w:rPr>
          <w:rFonts w:cs="Arial"/>
          <w:b/>
          <w:sz w:val="20"/>
        </w:rPr>
        <w:t>POST TITLE:</w:t>
      </w:r>
      <w:r w:rsidRPr="00931EC0">
        <w:rPr>
          <w:rFonts w:cs="Arial"/>
          <w:b/>
          <w:sz w:val="20"/>
        </w:rPr>
        <w:tab/>
      </w:r>
      <w:r w:rsidRPr="00931EC0">
        <w:rPr>
          <w:rFonts w:cs="Arial"/>
          <w:sz w:val="20"/>
        </w:rPr>
        <w:tab/>
      </w:r>
      <w:r w:rsidRPr="00931EC0">
        <w:rPr>
          <w:rFonts w:cs="Arial"/>
          <w:sz w:val="20"/>
        </w:rPr>
        <w:tab/>
      </w:r>
      <w:r w:rsidRPr="00931EC0">
        <w:rPr>
          <w:rFonts w:cs="Arial"/>
          <w:sz w:val="20"/>
        </w:rPr>
        <w:tab/>
      </w:r>
      <w:r w:rsidR="00D75D4A" w:rsidRPr="00931EC0">
        <w:rPr>
          <w:rFonts w:cs="Arial"/>
          <w:sz w:val="20"/>
        </w:rPr>
        <w:t xml:space="preserve">Variable Hours </w:t>
      </w:r>
      <w:r w:rsidRPr="00931EC0">
        <w:rPr>
          <w:rFonts w:cs="Arial"/>
          <w:sz w:val="20"/>
        </w:rPr>
        <w:t xml:space="preserve">Lecturer </w:t>
      </w:r>
      <w:r w:rsidR="00777806">
        <w:rPr>
          <w:rFonts w:cs="Arial"/>
          <w:sz w:val="20"/>
        </w:rPr>
        <w:t>- ESOL</w:t>
      </w:r>
    </w:p>
    <w:p w:rsidR="00777806" w:rsidRPr="00931EC0" w:rsidRDefault="00777806" w:rsidP="00B834CD">
      <w:pPr>
        <w:rPr>
          <w:rFonts w:cs="Arial"/>
          <w:sz w:val="20"/>
        </w:rPr>
      </w:pPr>
    </w:p>
    <w:p w:rsidR="00B834CD" w:rsidRPr="00931EC0" w:rsidRDefault="00B834CD" w:rsidP="00D75D4A">
      <w:pPr>
        <w:tabs>
          <w:tab w:val="left" w:pos="0"/>
        </w:tabs>
        <w:suppressAutoHyphens/>
        <w:ind w:left="3600" w:hanging="3600"/>
        <w:jc w:val="both"/>
        <w:rPr>
          <w:rFonts w:cs="Arial"/>
          <w:sz w:val="20"/>
        </w:rPr>
      </w:pPr>
      <w:r w:rsidRPr="00931EC0">
        <w:rPr>
          <w:rFonts w:cs="Arial"/>
          <w:b/>
          <w:sz w:val="20"/>
        </w:rPr>
        <w:t>GRADE:</w:t>
      </w:r>
      <w:r w:rsidR="00D75D4A" w:rsidRPr="00931EC0">
        <w:rPr>
          <w:rFonts w:cs="Arial"/>
          <w:sz w:val="20"/>
        </w:rPr>
        <w:tab/>
        <w:t>£14.42 - £23.70 per hour inclusive of holiday pay, dependent upon teaching qualifications</w:t>
      </w:r>
    </w:p>
    <w:p w:rsidR="00B834CD" w:rsidRPr="00931EC0" w:rsidRDefault="00B834CD" w:rsidP="00B834CD">
      <w:pPr>
        <w:tabs>
          <w:tab w:val="left" w:pos="0"/>
        </w:tabs>
        <w:suppressAutoHyphens/>
        <w:ind w:left="2880" w:hanging="2880"/>
        <w:jc w:val="both"/>
        <w:rPr>
          <w:rFonts w:eastAsia="MS Mincho" w:cs="Arial"/>
          <w:sz w:val="20"/>
        </w:rPr>
      </w:pPr>
      <w:r w:rsidRPr="00931EC0">
        <w:rPr>
          <w:rFonts w:cs="Arial"/>
          <w:sz w:val="20"/>
        </w:rPr>
        <w:tab/>
        <w:t xml:space="preserve"> </w:t>
      </w:r>
    </w:p>
    <w:p w:rsidR="00B834CD" w:rsidRPr="00931EC0" w:rsidRDefault="00B834CD" w:rsidP="00B834CD">
      <w:pPr>
        <w:ind w:left="3600" w:hanging="3600"/>
        <w:rPr>
          <w:rFonts w:cs="Arial"/>
          <w:sz w:val="20"/>
        </w:rPr>
      </w:pPr>
      <w:r w:rsidRPr="00931EC0">
        <w:rPr>
          <w:rFonts w:cs="Arial"/>
          <w:b/>
          <w:sz w:val="20"/>
        </w:rPr>
        <w:t>RESPONSIBLE TO:</w:t>
      </w:r>
      <w:r w:rsidRPr="00931EC0">
        <w:rPr>
          <w:rFonts w:cs="Arial"/>
          <w:b/>
          <w:sz w:val="20"/>
        </w:rPr>
        <w:tab/>
      </w:r>
      <w:r w:rsidR="00D75D4A" w:rsidRPr="00931EC0">
        <w:rPr>
          <w:rFonts w:cs="Arial"/>
          <w:spacing w:val="-3"/>
          <w:sz w:val="20"/>
        </w:rPr>
        <w:t>Curriculum Operations Manager</w:t>
      </w:r>
      <w:r w:rsidRPr="00931EC0">
        <w:rPr>
          <w:rFonts w:cs="Arial"/>
          <w:spacing w:val="-3"/>
          <w:sz w:val="20"/>
        </w:rPr>
        <w:t xml:space="preserve"> </w:t>
      </w:r>
    </w:p>
    <w:p w:rsidR="00B834CD" w:rsidRPr="00931EC0" w:rsidRDefault="00B834CD" w:rsidP="00B834CD">
      <w:pPr>
        <w:rPr>
          <w:rFonts w:cs="Arial"/>
          <w:sz w:val="20"/>
        </w:rPr>
      </w:pPr>
    </w:p>
    <w:p w:rsidR="00B834CD" w:rsidRPr="00931EC0" w:rsidRDefault="00B834CD" w:rsidP="00B834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 w:val="20"/>
          <w:szCs w:val="24"/>
        </w:rPr>
      </w:pPr>
      <w:r w:rsidRPr="00931EC0">
        <w:rPr>
          <w:rFonts w:cs="Arial"/>
          <w:b/>
          <w:spacing w:val="-3"/>
          <w:sz w:val="20"/>
          <w:szCs w:val="24"/>
        </w:rPr>
        <w:t>RESPONSIBLE FOR:</w:t>
      </w:r>
      <w:r w:rsidRPr="00931EC0">
        <w:rPr>
          <w:rFonts w:cs="Arial"/>
          <w:spacing w:val="-3"/>
          <w:sz w:val="20"/>
          <w:szCs w:val="24"/>
        </w:rPr>
        <w:tab/>
      </w:r>
      <w:r w:rsidRPr="00931EC0">
        <w:rPr>
          <w:rFonts w:cs="Arial"/>
          <w:spacing w:val="-3"/>
          <w:sz w:val="20"/>
          <w:szCs w:val="24"/>
        </w:rPr>
        <w:tab/>
      </w:r>
      <w:r w:rsidRPr="00931EC0">
        <w:rPr>
          <w:rFonts w:cs="Arial"/>
          <w:spacing w:val="-3"/>
          <w:sz w:val="20"/>
          <w:szCs w:val="24"/>
        </w:rPr>
        <w:tab/>
        <w:t>Contributing to a variety of subject areas to support the College’s vision to become and sustain outstanding</w:t>
      </w:r>
    </w:p>
    <w:p w:rsidR="00B834CD" w:rsidRPr="00931EC0" w:rsidRDefault="00B834CD" w:rsidP="00B834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 w:val="20"/>
          <w:szCs w:val="24"/>
        </w:rPr>
      </w:pPr>
    </w:p>
    <w:p w:rsidR="00B834CD" w:rsidRPr="00931EC0" w:rsidRDefault="00B834CD" w:rsidP="00B834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z w:val="20"/>
        </w:rPr>
      </w:pPr>
      <w:r w:rsidRPr="00931EC0">
        <w:rPr>
          <w:rFonts w:cs="Arial"/>
          <w:b/>
          <w:sz w:val="20"/>
        </w:rPr>
        <w:t>DIRECTORATE:</w:t>
      </w:r>
      <w:r w:rsidRPr="00931EC0">
        <w:rPr>
          <w:rFonts w:cs="Arial"/>
          <w:sz w:val="20"/>
        </w:rPr>
        <w:tab/>
      </w:r>
      <w:r w:rsidRPr="00931EC0">
        <w:rPr>
          <w:rFonts w:cs="Arial"/>
          <w:sz w:val="20"/>
        </w:rPr>
        <w:tab/>
      </w:r>
      <w:r w:rsidRPr="00931EC0">
        <w:rPr>
          <w:rFonts w:cs="Arial"/>
          <w:sz w:val="20"/>
        </w:rPr>
        <w:tab/>
      </w:r>
      <w:r w:rsidR="00777806">
        <w:rPr>
          <w:rFonts w:cs="Arial"/>
          <w:sz w:val="20"/>
        </w:rPr>
        <w:t>Maths, English and ESOL</w:t>
      </w:r>
    </w:p>
    <w:p w:rsidR="00B834CD" w:rsidRPr="00931EC0" w:rsidRDefault="00B834CD" w:rsidP="00B834CD">
      <w:pPr>
        <w:rPr>
          <w:rFonts w:cs="Arial"/>
          <w:sz w:val="20"/>
        </w:rPr>
      </w:pPr>
    </w:p>
    <w:p w:rsidR="00B834CD" w:rsidRPr="00931EC0" w:rsidRDefault="00B834CD" w:rsidP="00B834CD">
      <w:pPr>
        <w:keepNext/>
        <w:autoSpaceDE w:val="0"/>
        <w:autoSpaceDN w:val="0"/>
        <w:adjustRightInd w:val="0"/>
        <w:outlineLvl w:val="1"/>
        <w:rPr>
          <w:rFonts w:cs="Arial"/>
          <w:b/>
          <w:bCs/>
          <w:sz w:val="20"/>
          <w:szCs w:val="20"/>
        </w:rPr>
      </w:pPr>
      <w:r w:rsidRPr="00931EC0">
        <w:rPr>
          <w:rFonts w:cs="Arial"/>
          <w:b/>
          <w:sz w:val="20"/>
        </w:rPr>
        <w:t>WORK ARRANGEMENTS:</w:t>
      </w:r>
      <w:r w:rsidRPr="00931EC0">
        <w:rPr>
          <w:rFonts w:cs="Arial"/>
          <w:sz w:val="20"/>
        </w:rPr>
        <w:tab/>
      </w:r>
      <w:r w:rsidRPr="00931EC0">
        <w:rPr>
          <w:rFonts w:cs="Arial"/>
          <w:sz w:val="20"/>
        </w:rPr>
        <w:tab/>
      </w:r>
      <w:r w:rsidR="00D75D4A" w:rsidRPr="00931EC0">
        <w:rPr>
          <w:rFonts w:cs="Arial"/>
          <w:bCs/>
          <w:sz w:val="20"/>
          <w:szCs w:val="20"/>
        </w:rPr>
        <w:t>As and when required</w:t>
      </w:r>
    </w:p>
    <w:p w:rsidR="00B834CD" w:rsidRDefault="00B834CD" w:rsidP="00B834CD">
      <w:pPr>
        <w:ind w:left="2880"/>
        <w:rPr>
          <w:rFonts w:cs="Arial"/>
        </w:rPr>
      </w:pPr>
    </w:p>
    <w:p w:rsidR="00B834CD" w:rsidRDefault="00B834CD" w:rsidP="00B834CD">
      <w:pPr>
        <w:spacing w:line="280" w:lineRule="exact"/>
        <w:rPr>
          <w:rFonts w:cs="Arial"/>
          <w:b/>
          <w:u w:val="single"/>
        </w:rPr>
      </w:pPr>
    </w:p>
    <w:p w:rsidR="00B834CD" w:rsidRPr="00777806" w:rsidRDefault="00B834CD" w:rsidP="00B834CD">
      <w:pPr>
        <w:spacing w:line="280" w:lineRule="exact"/>
        <w:rPr>
          <w:rFonts w:cs="Arial"/>
          <w:b/>
          <w:u w:val="single"/>
        </w:rPr>
      </w:pPr>
      <w:r w:rsidRPr="00777806">
        <w:rPr>
          <w:rFonts w:cs="Arial"/>
          <w:b/>
          <w:u w:val="single"/>
        </w:rPr>
        <w:t>PURPOSE OF THE POST</w:t>
      </w:r>
    </w:p>
    <w:p w:rsidR="00B834CD" w:rsidRPr="00931EC0" w:rsidRDefault="00B834CD" w:rsidP="00B834CD">
      <w:pPr>
        <w:spacing w:line="280" w:lineRule="exact"/>
        <w:rPr>
          <w:rFonts w:cs="Arial"/>
          <w:sz w:val="20"/>
        </w:rPr>
      </w:pPr>
    </w:p>
    <w:p w:rsidR="00B834CD" w:rsidRPr="00931EC0" w:rsidRDefault="00B834CD" w:rsidP="00B834CD">
      <w:pPr>
        <w:spacing w:line="280" w:lineRule="exact"/>
        <w:rPr>
          <w:rFonts w:cs="Arial"/>
          <w:sz w:val="20"/>
        </w:rPr>
      </w:pPr>
      <w:r w:rsidRPr="00931EC0">
        <w:rPr>
          <w:rFonts w:cs="Arial"/>
          <w:sz w:val="20"/>
        </w:rPr>
        <w:t>The post holder will:</w:t>
      </w:r>
    </w:p>
    <w:p w:rsidR="00B834CD" w:rsidRPr="00931EC0" w:rsidRDefault="00B834CD" w:rsidP="00B834CD">
      <w:pPr>
        <w:spacing w:line="280" w:lineRule="exact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2"/>
        </w:numPr>
        <w:spacing w:line="280" w:lineRule="exact"/>
        <w:ind w:left="360"/>
        <w:rPr>
          <w:rFonts w:cs="Arial"/>
          <w:sz w:val="20"/>
        </w:rPr>
      </w:pPr>
      <w:r w:rsidRPr="00931EC0">
        <w:rPr>
          <w:rFonts w:cs="Arial"/>
          <w:sz w:val="20"/>
        </w:rPr>
        <w:t>Strive to achieve consistently outstanding provision.</w:t>
      </w:r>
    </w:p>
    <w:p w:rsidR="00931EC0" w:rsidRPr="00931EC0" w:rsidRDefault="00931EC0" w:rsidP="00931EC0">
      <w:pPr>
        <w:spacing w:line="280" w:lineRule="exact"/>
        <w:ind w:left="360"/>
        <w:rPr>
          <w:rFonts w:cs="Arial"/>
          <w:sz w:val="20"/>
        </w:rPr>
      </w:pPr>
    </w:p>
    <w:p w:rsidR="00931EC0" w:rsidRPr="00931EC0" w:rsidRDefault="00931EC0" w:rsidP="00931EC0">
      <w:pPr>
        <w:numPr>
          <w:ilvl w:val="0"/>
          <w:numId w:val="12"/>
        </w:numPr>
        <w:spacing w:line="280" w:lineRule="exact"/>
        <w:ind w:left="360"/>
        <w:rPr>
          <w:rFonts w:cs="Arial"/>
          <w:sz w:val="20"/>
        </w:rPr>
      </w:pPr>
      <w:r w:rsidRPr="00931EC0">
        <w:rPr>
          <w:rFonts w:cs="Arial"/>
          <w:sz w:val="20"/>
        </w:rPr>
        <w:t xml:space="preserve">Deliver an inspiring teaching, learning and assessment experience to individual s and groups with a focus on learner progress. </w:t>
      </w:r>
    </w:p>
    <w:p w:rsidR="00B834CD" w:rsidRPr="00931EC0" w:rsidRDefault="00B834CD" w:rsidP="00931EC0">
      <w:pPr>
        <w:spacing w:line="280" w:lineRule="exact"/>
        <w:ind w:left="360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2"/>
        </w:numPr>
        <w:spacing w:line="280" w:lineRule="exact"/>
        <w:ind w:left="360"/>
        <w:rPr>
          <w:rFonts w:cs="Arial"/>
          <w:sz w:val="20"/>
        </w:rPr>
      </w:pPr>
      <w:r w:rsidRPr="00931EC0">
        <w:rPr>
          <w:rFonts w:cs="Arial"/>
          <w:spacing w:val="-3"/>
          <w:sz w:val="20"/>
        </w:rPr>
        <w:t>Student support and general administrative duties associated with the academic function.</w:t>
      </w:r>
    </w:p>
    <w:p w:rsidR="00B834CD" w:rsidRPr="00931EC0" w:rsidRDefault="00B834CD" w:rsidP="00931EC0">
      <w:pPr>
        <w:spacing w:line="280" w:lineRule="exact"/>
        <w:ind w:left="76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2"/>
        </w:numPr>
        <w:spacing w:line="280" w:lineRule="exact"/>
        <w:ind w:left="360"/>
        <w:rPr>
          <w:rFonts w:cs="Arial"/>
          <w:sz w:val="20"/>
        </w:rPr>
      </w:pPr>
      <w:r w:rsidRPr="00931EC0">
        <w:rPr>
          <w:rFonts w:cs="Arial"/>
          <w:spacing w:val="-3"/>
          <w:sz w:val="20"/>
        </w:rPr>
        <w:t>At all times carrying out the duties and responsibilities of the post in compliance with the College's Equal Opportunities and Health and Safety policies.</w:t>
      </w:r>
    </w:p>
    <w:p w:rsidR="00B834CD" w:rsidRDefault="00B834CD" w:rsidP="00B834CD">
      <w:pPr>
        <w:rPr>
          <w:rFonts w:cs="Arial"/>
        </w:rPr>
      </w:pPr>
    </w:p>
    <w:p w:rsidR="00B834CD" w:rsidRDefault="00B834CD" w:rsidP="00B834CD">
      <w:pPr>
        <w:pStyle w:val="Heading1"/>
        <w:rPr>
          <w:rFonts w:ascii="Arial" w:hAnsi="Arial" w:cs="Arial"/>
          <w:b/>
          <w:sz w:val="22"/>
          <w:szCs w:val="22"/>
        </w:rPr>
      </w:pPr>
      <w:r w:rsidRPr="00C77CF8">
        <w:rPr>
          <w:rFonts w:ascii="Arial" w:hAnsi="Arial" w:cs="Arial"/>
          <w:b/>
          <w:sz w:val="22"/>
          <w:szCs w:val="22"/>
        </w:rPr>
        <w:t>DUTIES AND RESPONSIBILITIES</w:t>
      </w:r>
    </w:p>
    <w:p w:rsidR="00996B1E" w:rsidRPr="00931EC0" w:rsidRDefault="00996B1E" w:rsidP="00996B1E">
      <w:pPr>
        <w:rPr>
          <w:rFonts w:cs="Arial"/>
          <w:sz w:val="20"/>
        </w:rPr>
      </w:pPr>
    </w:p>
    <w:p w:rsidR="00365FE1" w:rsidRPr="00931EC0" w:rsidRDefault="00365FE1" w:rsidP="00365FE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 xml:space="preserve">To deliver high quality and challenging learning experiences for individuals and groups in all taught sessions </w:t>
      </w:r>
      <w:r w:rsidR="00CA064B" w:rsidRPr="00931EC0">
        <w:rPr>
          <w:rFonts w:ascii="Arial" w:hAnsi="Arial" w:cs="Arial"/>
          <w:sz w:val="20"/>
        </w:rPr>
        <w:t>(</w:t>
      </w:r>
      <w:r w:rsidRPr="00931EC0">
        <w:rPr>
          <w:rFonts w:ascii="Arial" w:hAnsi="Arial" w:cs="Arial"/>
          <w:sz w:val="20"/>
        </w:rPr>
        <w:t>including tutorial and wider skills development</w:t>
      </w:r>
      <w:r w:rsidR="00CA064B" w:rsidRPr="00931EC0">
        <w:rPr>
          <w:rFonts w:ascii="Arial" w:hAnsi="Arial" w:cs="Arial"/>
          <w:sz w:val="20"/>
        </w:rPr>
        <w:t xml:space="preserve">) so that learners make excellent progress </w:t>
      </w:r>
      <w:r w:rsidR="00931EC0" w:rsidRPr="00931EC0">
        <w:rPr>
          <w:rFonts w:ascii="Arial" w:hAnsi="Arial" w:cs="Arial"/>
          <w:sz w:val="20"/>
        </w:rPr>
        <w:t>within their study programme</w:t>
      </w:r>
    </w:p>
    <w:p w:rsidR="00365FE1" w:rsidRPr="00931EC0" w:rsidRDefault="00365FE1" w:rsidP="00365FE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>To deliver lessons that apply a wide range of teaching, learning and assessment strategies  for individual learners and groups ensuring that high levels of progress are made in every lesson</w:t>
      </w:r>
    </w:p>
    <w:p w:rsidR="00365FE1" w:rsidRPr="00931EC0" w:rsidRDefault="00365FE1" w:rsidP="00365FE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>To lead on the development and planning of teaching and learning materials including schemes of work, programme delivery, modules and qualifications as appropriate</w:t>
      </w:r>
    </w:p>
    <w:p w:rsidR="00365FE1" w:rsidRPr="00931EC0" w:rsidRDefault="00365FE1" w:rsidP="00CA064B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 xml:space="preserve">To lead and collaborate with staff in the development </w:t>
      </w:r>
      <w:r w:rsidR="00CA064B" w:rsidRPr="00931EC0">
        <w:rPr>
          <w:rFonts w:ascii="Arial" w:hAnsi="Arial" w:cs="Arial"/>
          <w:sz w:val="20"/>
        </w:rPr>
        <w:t xml:space="preserve">and evaluation </w:t>
      </w:r>
      <w:r w:rsidRPr="00931EC0">
        <w:rPr>
          <w:rFonts w:ascii="Arial" w:hAnsi="Arial" w:cs="Arial"/>
          <w:sz w:val="20"/>
        </w:rPr>
        <w:t xml:space="preserve">of excellent learning materials and programmes of study applying a wide range of </w:t>
      </w:r>
      <w:r w:rsidR="00CA064B" w:rsidRPr="00931EC0">
        <w:rPr>
          <w:rFonts w:ascii="Arial" w:hAnsi="Arial" w:cs="Arial"/>
          <w:sz w:val="20"/>
        </w:rPr>
        <w:t>teaching learning and assessment</w:t>
      </w:r>
      <w:r w:rsidRPr="00931EC0">
        <w:rPr>
          <w:rFonts w:ascii="Arial" w:hAnsi="Arial" w:cs="Arial"/>
          <w:sz w:val="20"/>
        </w:rPr>
        <w:t xml:space="preserve"> strategies </w:t>
      </w:r>
    </w:p>
    <w:p w:rsidR="00365FE1" w:rsidRPr="00931EC0" w:rsidRDefault="00365FE1" w:rsidP="00365FE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 xml:space="preserve">To lead and devise appropriate assessment material that utilises a range of different assessment strategies </w:t>
      </w:r>
      <w:r w:rsidR="00CA064B" w:rsidRPr="00931EC0">
        <w:rPr>
          <w:rFonts w:ascii="Arial" w:hAnsi="Arial" w:cs="Arial"/>
          <w:sz w:val="20"/>
        </w:rPr>
        <w:t>to support learner progress</w:t>
      </w:r>
    </w:p>
    <w:p w:rsidR="00931EC0" w:rsidRPr="00931EC0" w:rsidRDefault="00931EC0" w:rsidP="00931EC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>Returning assessed work promptly to learners indicating proposals for improvement in line with progress measures</w:t>
      </w:r>
    </w:p>
    <w:p w:rsidR="00365FE1" w:rsidRPr="00931EC0" w:rsidRDefault="00931EC0" w:rsidP="00931EC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>Assessing and verifying assessments as a member of the programme team.</w:t>
      </w:r>
    </w:p>
    <w:p w:rsidR="00996B1E" w:rsidRPr="00931EC0" w:rsidRDefault="00CA064B" w:rsidP="00CA064B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lastRenderedPageBreak/>
        <w:t>Provide learners</w:t>
      </w:r>
      <w:r w:rsidR="00365FE1" w:rsidRPr="00931EC0">
        <w:rPr>
          <w:rFonts w:ascii="Arial" w:hAnsi="Arial" w:cs="Arial"/>
          <w:sz w:val="20"/>
        </w:rPr>
        <w:t xml:space="preserve"> with regular and meaningful feedback in line with college policy for all learning </w:t>
      </w:r>
      <w:r w:rsidRPr="00931EC0">
        <w:rPr>
          <w:rFonts w:ascii="Arial" w:hAnsi="Arial" w:cs="Arial"/>
          <w:sz w:val="20"/>
        </w:rPr>
        <w:t xml:space="preserve">that takes place </w:t>
      </w:r>
      <w:r w:rsidR="00365FE1" w:rsidRPr="00931EC0">
        <w:rPr>
          <w:rFonts w:ascii="Arial" w:hAnsi="Arial" w:cs="Arial"/>
          <w:sz w:val="20"/>
        </w:rPr>
        <w:t xml:space="preserve">(classroom, formative and summative assessments) </w:t>
      </w:r>
      <w:r w:rsidRPr="00931EC0">
        <w:rPr>
          <w:rFonts w:ascii="Arial" w:hAnsi="Arial" w:cs="Arial"/>
          <w:sz w:val="20"/>
        </w:rPr>
        <w:t>with a focus on all learners making at least the progress expected of them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31EC0">
        <w:rPr>
          <w:rFonts w:ascii="Arial" w:hAnsi="Arial" w:cs="Arial"/>
          <w:sz w:val="20"/>
        </w:rPr>
        <w:t xml:space="preserve">Work effectively together with classroom based, work based and cross-college colleagues as one team, respecting and valuing each other to deliver outstanding services to students. </w:t>
      </w:r>
    </w:p>
    <w:p w:rsidR="00931EC0" w:rsidRPr="00931EC0" w:rsidRDefault="00996B1E" w:rsidP="00931EC0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 xml:space="preserve">Effectively deliver </w:t>
      </w:r>
      <w:r w:rsidR="00B834CD" w:rsidRPr="00931EC0">
        <w:rPr>
          <w:rFonts w:ascii="Arial" w:hAnsi="Arial" w:cs="Arial"/>
          <w:spacing w:val="-3"/>
          <w:sz w:val="20"/>
        </w:rPr>
        <w:t>the programme of learning in accordance with College policies.</w:t>
      </w:r>
    </w:p>
    <w:p w:rsidR="00B834CD" w:rsidRPr="00931EC0" w:rsidRDefault="00CA064B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Remain compliant with the expected standards and college policy in relation to the</w:t>
      </w:r>
      <w:r w:rsidR="00996B1E" w:rsidRPr="00931EC0">
        <w:rPr>
          <w:rFonts w:ascii="Arial" w:hAnsi="Arial" w:cs="Arial"/>
          <w:spacing w:val="-3"/>
          <w:sz w:val="20"/>
        </w:rPr>
        <w:t xml:space="preserve"> maintenance of</w:t>
      </w:r>
      <w:r w:rsidR="00B834CD" w:rsidRPr="00931EC0">
        <w:rPr>
          <w:rFonts w:ascii="Arial" w:hAnsi="Arial" w:cs="Arial"/>
          <w:spacing w:val="-3"/>
          <w:sz w:val="20"/>
        </w:rPr>
        <w:t xml:space="preserve"> academic records including registers, records of work and any othe</w:t>
      </w:r>
      <w:r w:rsidR="00996B1E" w:rsidRPr="00931EC0">
        <w:rPr>
          <w:rFonts w:ascii="Arial" w:hAnsi="Arial" w:cs="Arial"/>
          <w:spacing w:val="-3"/>
          <w:sz w:val="20"/>
        </w:rPr>
        <w:t xml:space="preserve">r records which may be required. 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Planning and organising work placements, field trips, site visits and related activities.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Participating in programme team(s)</w:t>
      </w:r>
      <w:r w:rsidR="00931EC0" w:rsidRPr="00931EC0">
        <w:rPr>
          <w:rFonts w:ascii="Arial" w:hAnsi="Arial" w:cs="Arial"/>
          <w:spacing w:val="-3"/>
          <w:sz w:val="20"/>
        </w:rPr>
        <w:t xml:space="preserve"> meetings</w:t>
      </w:r>
      <w:r w:rsidRPr="00931EC0">
        <w:rPr>
          <w:rFonts w:ascii="Arial" w:hAnsi="Arial" w:cs="Arial"/>
          <w:spacing w:val="-3"/>
          <w:sz w:val="20"/>
        </w:rPr>
        <w:t xml:space="preserve"> and contributing towards the planning, development and administration of programmes and assessment of students work.</w:t>
      </w:r>
    </w:p>
    <w:p w:rsidR="00931EC0" w:rsidRPr="00931EC0" w:rsidRDefault="00931EC0" w:rsidP="00931EC0">
      <w:pPr>
        <w:pStyle w:val="ListParagraph"/>
        <w:numPr>
          <w:ilvl w:val="0"/>
          <w:numId w:val="16"/>
        </w:numPr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To attend and actively participate in area and department meetings, planning events, open days and recruitment events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Participating in the College Quality Assurance process in order to evaluate the effectiveness of programmes.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Identifying, in consultation with programme team(s), curriculum development and learning resource needs and advising the Curriculum Operations Manager.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Assisting with visits from and to schools, taster courses and work experience for potential students.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Acting as personal tutor to nominated groups and individual students.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 xml:space="preserve">Participating in the guidance and interviewing processes to ensure that </w:t>
      </w:r>
      <w:r w:rsidR="00CA064B" w:rsidRPr="00931EC0">
        <w:rPr>
          <w:rFonts w:ascii="Arial" w:hAnsi="Arial" w:cs="Arial"/>
          <w:spacing w:val="-3"/>
          <w:sz w:val="20"/>
        </w:rPr>
        <w:t>learner</w:t>
      </w:r>
      <w:r w:rsidRPr="00931EC0">
        <w:rPr>
          <w:rFonts w:ascii="Arial" w:hAnsi="Arial" w:cs="Arial"/>
          <w:spacing w:val="-3"/>
          <w:sz w:val="20"/>
        </w:rPr>
        <w:t xml:space="preserve">s and prospective </w:t>
      </w:r>
      <w:r w:rsidR="00CA064B" w:rsidRPr="00931EC0">
        <w:rPr>
          <w:rFonts w:ascii="Arial" w:hAnsi="Arial" w:cs="Arial"/>
          <w:spacing w:val="-3"/>
          <w:sz w:val="20"/>
        </w:rPr>
        <w:t>learner</w:t>
      </w:r>
      <w:r w:rsidRPr="00931EC0">
        <w:rPr>
          <w:rFonts w:ascii="Arial" w:hAnsi="Arial" w:cs="Arial"/>
          <w:spacing w:val="-3"/>
          <w:sz w:val="20"/>
        </w:rPr>
        <w:t xml:space="preserve">s </w:t>
      </w:r>
      <w:r w:rsidR="00CA064B" w:rsidRPr="00931EC0">
        <w:rPr>
          <w:rFonts w:ascii="Arial" w:hAnsi="Arial" w:cs="Arial"/>
          <w:spacing w:val="-3"/>
          <w:sz w:val="20"/>
        </w:rPr>
        <w:t>undertake</w:t>
      </w:r>
      <w:r w:rsidRPr="00931EC0">
        <w:rPr>
          <w:rFonts w:ascii="Arial" w:hAnsi="Arial" w:cs="Arial"/>
          <w:spacing w:val="-3"/>
          <w:sz w:val="20"/>
        </w:rPr>
        <w:t xml:space="preserve"> appropriate learning programmes.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Participating in reporting processes to provide feedback for parents and other sponsors.</w:t>
      </w:r>
    </w:p>
    <w:p w:rsidR="00B834CD" w:rsidRPr="00931EC0" w:rsidRDefault="00B834CD" w:rsidP="00365FE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31EC0">
        <w:rPr>
          <w:rFonts w:ascii="Arial" w:hAnsi="Arial" w:cs="Arial"/>
          <w:spacing w:val="-3"/>
          <w:sz w:val="20"/>
        </w:rPr>
        <w:t>Liaising with parents and employers at parents' and careers' evenings and other similar events at schools and at the College.</w:t>
      </w:r>
    </w:p>
    <w:p w:rsidR="00B834CD" w:rsidRPr="00931EC0" w:rsidRDefault="00B834CD" w:rsidP="00B834CD">
      <w:pPr>
        <w:pStyle w:val="Heading1"/>
        <w:rPr>
          <w:rFonts w:ascii="Arial" w:hAnsi="Arial" w:cs="Arial"/>
          <w:b/>
          <w:szCs w:val="22"/>
        </w:rPr>
      </w:pPr>
      <w:r w:rsidRPr="00931EC0">
        <w:rPr>
          <w:rFonts w:ascii="Arial" w:hAnsi="Arial" w:cs="Arial"/>
          <w:b/>
          <w:szCs w:val="22"/>
        </w:rPr>
        <w:t>GENERAL</w:t>
      </w:r>
    </w:p>
    <w:p w:rsidR="00B834CD" w:rsidRDefault="00B834CD" w:rsidP="00B834CD">
      <w:pPr>
        <w:rPr>
          <w:rFonts w:cs="Arial"/>
        </w:rPr>
      </w:pPr>
    </w:p>
    <w:p w:rsidR="00B834CD" w:rsidRPr="00931EC0" w:rsidRDefault="00B834CD" w:rsidP="00931EC0">
      <w:pPr>
        <w:numPr>
          <w:ilvl w:val="0"/>
          <w:numId w:val="13"/>
        </w:numPr>
        <w:ind w:left="360"/>
        <w:rPr>
          <w:rFonts w:cs="Arial"/>
          <w:sz w:val="20"/>
        </w:rPr>
      </w:pPr>
      <w:r w:rsidRPr="00931EC0">
        <w:rPr>
          <w:rFonts w:cs="Arial"/>
          <w:sz w:val="20"/>
        </w:rPr>
        <w:t>Take an active role in the health, safety and welfare of students and staff, attending training and carrying out health and safety related activities as appropriate to the role.</w:t>
      </w:r>
    </w:p>
    <w:p w:rsidR="00B834CD" w:rsidRPr="00931EC0" w:rsidRDefault="00B834CD" w:rsidP="00931EC0">
      <w:pPr>
        <w:ind w:left="360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3"/>
        </w:numPr>
        <w:ind w:left="360"/>
        <w:rPr>
          <w:rFonts w:cs="Arial"/>
          <w:sz w:val="20"/>
        </w:rPr>
      </w:pPr>
      <w:r w:rsidRPr="00931EC0">
        <w:rPr>
          <w:rFonts w:cs="Arial"/>
          <w:sz w:val="20"/>
        </w:rPr>
        <w:t>Take</w:t>
      </w:r>
      <w:r w:rsidRPr="00931EC0">
        <w:rPr>
          <w:rFonts w:cs="Arial"/>
          <w:bCs/>
          <w:sz w:val="20"/>
        </w:rPr>
        <w:t xml:space="preserve"> responsibility for one’s own professional development and continually update, as necessary, participating in appropriate staff development activities as required including the Performance and Development Review.</w:t>
      </w:r>
    </w:p>
    <w:p w:rsidR="00B834CD" w:rsidRPr="00931EC0" w:rsidRDefault="00B834CD" w:rsidP="00931EC0">
      <w:pPr>
        <w:ind w:left="360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3"/>
        </w:numPr>
        <w:ind w:left="360"/>
        <w:rPr>
          <w:rFonts w:cs="Arial"/>
          <w:sz w:val="20"/>
        </w:rPr>
      </w:pPr>
      <w:r w:rsidRPr="00931EC0">
        <w:rPr>
          <w:rFonts w:cs="Arial"/>
          <w:sz w:val="20"/>
        </w:rPr>
        <w:t>Promote</w:t>
      </w:r>
      <w:r w:rsidRPr="00931EC0">
        <w:rPr>
          <w:rFonts w:cs="Arial"/>
          <w:bCs/>
          <w:sz w:val="20"/>
        </w:rPr>
        <w:t xml:space="preserve"> a positive image of the College and the work that is carried out across its various services.</w:t>
      </w:r>
    </w:p>
    <w:p w:rsidR="00B834CD" w:rsidRPr="00931EC0" w:rsidRDefault="00B834CD" w:rsidP="00931EC0">
      <w:pPr>
        <w:ind w:left="360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3"/>
        </w:numPr>
        <w:ind w:left="360"/>
        <w:rPr>
          <w:rFonts w:cs="Arial"/>
          <w:bCs/>
          <w:sz w:val="20"/>
        </w:rPr>
      </w:pPr>
      <w:r w:rsidRPr="00931EC0">
        <w:rPr>
          <w:rFonts w:cs="Arial"/>
          <w:bCs/>
          <w:sz w:val="20"/>
        </w:rPr>
        <w:t>Comply with all legislative and regulatory requirements.</w:t>
      </w:r>
    </w:p>
    <w:p w:rsidR="00B834CD" w:rsidRPr="00931EC0" w:rsidRDefault="00B834CD" w:rsidP="00931EC0">
      <w:pPr>
        <w:ind w:left="360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3"/>
        </w:numPr>
        <w:ind w:left="360"/>
        <w:rPr>
          <w:rFonts w:cs="Arial"/>
          <w:sz w:val="20"/>
        </w:rPr>
      </w:pPr>
      <w:r w:rsidRPr="00931EC0">
        <w:rPr>
          <w:rFonts w:cs="Arial"/>
          <w:sz w:val="20"/>
        </w:rPr>
        <w:t>Apply the college’s own Safeguarding Policy and practices and attend training as requested.</w:t>
      </w:r>
    </w:p>
    <w:p w:rsidR="00B834CD" w:rsidRPr="00931EC0" w:rsidRDefault="00B834CD" w:rsidP="00931EC0">
      <w:pPr>
        <w:ind w:left="360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3"/>
        </w:numPr>
        <w:ind w:left="360"/>
        <w:rPr>
          <w:rFonts w:cs="Arial"/>
          <w:sz w:val="20"/>
        </w:rPr>
      </w:pPr>
      <w:r w:rsidRPr="00931EC0">
        <w:rPr>
          <w:rFonts w:cs="Arial"/>
          <w:sz w:val="20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B834CD" w:rsidRPr="00931EC0" w:rsidRDefault="00B834CD" w:rsidP="00931EC0">
      <w:pPr>
        <w:ind w:left="360"/>
        <w:rPr>
          <w:rFonts w:cs="Arial"/>
          <w:sz w:val="20"/>
        </w:rPr>
      </w:pPr>
    </w:p>
    <w:p w:rsidR="00B834CD" w:rsidRPr="00931EC0" w:rsidRDefault="00B834CD" w:rsidP="00931EC0">
      <w:pPr>
        <w:numPr>
          <w:ilvl w:val="0"/>
          <w:numId w:val="13"/>
        </w:numPr>
        <w:ind w:left="360"/>
        <w:rPr>
          <w:rFonts w:cs="Arial"/>
          <w:bCs/>
          <w:sz w:val="20"/>
        </w:rPr>
      </w:pPr>
      <w:r w:rsidRPr="00931EC0">
        <w:rPr>
          <w:rFonts w:cs="Arial"/>
          <w:bCs/>
          <w:sz w:val="20"/>
        </w:rPr>
        <w:t>Carry</w:t>
      </w:r>
      <w:r w:rsidRPr="00931EC0">
        <w:rPr>
          <w:rFonts w:cs="Arial"/>
          <w:sz w:val="20"/>
        </w:rPr>
        <w:t xml:space="preserve"> out any other reasonable duties within the overall function, commensurate with the grading and level of responsibility of the job.</w:t>
      </w:r>
    </w:p>
    <w:p w:rsidR="00B834CD" w:rsidRDefault="00B834CD" w:rsidP="00B834CD">
      <w:pPr>
        <w:rPr>
          <w:rFonts w:cs="Arial"/>
        </w:rPr>
      </w:pPr>
    </w:p>
    <w:p w:rsidR="00B834CD" w:rsidRDefault="00B834CD" w:rsidP="00B834CD">
      <w:pPr>
        <w:spacing w:after="200" w:line="276" w:lineRule="auto"/>
        <w:rPr>
          <w:rFonts w:cs="Arial"/>
          <w:b/>
        </w:rPr>
      </w:pPr>
    </w:p>
    <w:p w:rsidR="00931EC0" w:rsidRDefault="00931EC0" w:rsidP="00B834CD">
      <w:pPr>
        <w:spacing w:after="200" w:line="276" w:lineRule="auto"/>
        <w:rPr>
          <w:rFonts w:cs="Arial"/>
          <w:b/>
        </w:rPr>
      </w:pPr>
    </w:p>
    <w:p w:rsidR="00931EC0" w:rsidRDefault="00931EC0" w:rsidP="00931EC0">
      <w:pPr>
        <w:rPr>
          <w:rFonts w:cs="Arial"/>
          <w:b/>
        </w:rPr>
      </w:pPr>
    </w:p>
    <w:p w:rsidR="00B834CD" w:rsidRPr="00931EC0" w:rsidRDefault="00B834CD" w:rsidP="00931EC0">
      <w:pPr>
        <w:jc w:val="center"/>
        <w:rPr>
          <w:b/>
          <w:szCs w:val="24"/>
          <w:u w:val="single"/>
        </w:rPr>
      </w:pPr>
      <w:r w:rsidRPr="00931EC0">
        <w:rPr>
          <w:b/>
          <w:szCs w:val="24"/>
          <w:u w:val="single"/>
        </w:rPr>
        <w:lastRenderedPageBreak/>
        <w:t>Person Specification</w:t>
      </w:r>
    </w:p>
    <w:p w:rsidR="00B834CD" w:rsidRPr="00931EC0" w:rsidRDefault="00B834CD" w:rsidP="00B834CD">
      <w:pPr>
        <w:rPr>
          <w:b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3827"/>
        <w:gridCol w:w="1559"/>
        <w:gridCol w:w="3686"/>
      </w:tblGrid>
      <w:tr w:rsidR="00B834CD" w:rsidRPr="00931EC0" w:rsidTr="0037704B">
        <w:trPr>
          <w:trHeight w:val="519"/>
        </w:trPr>
        <w:tc>
          <w:tcPr>
            <w:tcW w:w="1419" w:type="dxa"/>
            <w:shd w:val="clear" w:color="auto" w:fill="95B3D7" w:themeFill="accent1" w:themeFillTint="99"/>
            <w:vAlign w:val="center"/>
          </w:tcPr>
          <w:p w:rsidR="00B834CD" w:rsidRPr="00931EC0" w:rsidRDefault="00B834CD" w:rsidP="00D27D32">
            <w:pPr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Post:</w:t>
            </w:r>
          </w:p>
        </w:tc>
        <w:tc>
          <w:tcPr>
            <w:tcW w:w="3827" w:type="dxa"/>
            <w:vAlign w:val="center"/>
          </w:tcPr>
          <w:p w:rsidR="00B834CD" w:rsidRPr="00931EC0" w:rsidRDefault="00D75D4A" w:rsidP="00777806">
            <w:pPr>
              <w:rPr>
                <w:sz w:val="20"/>
              </w:rPr>
            </w:pPr>
            <w:r w:rsidRPr="00931EC0">
              <w:rPr>
                <w:sz w:val="20"/>
              </w:rPr>
              <w:t xml:space="preserve">Variable Hours Lecturer – </w:t>
            </w:r>
            <w:r w:rsidR="00777806">
              <w:rPr>
                <w:sz w:val="20"/>
              </w:rPr>
              <w:t>ESOL</w:t>
            </w:r>
            <w:r w:rsidRPr="00931EC0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B834CD" w:rsidRPr="00931EC0" w:rsidRDefault="00B834CD" w:rsidP="00D27D32">
            <w:pPr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Directorate:</w:t>
            </w:r>
          </w:p>
        </w:tc>
        <w:tc>
          <w:tcPr>
            <w:tcW w:w="3686" w:type="dxa"/>
            <w:vAlign w:val="center"/>
          </w:tcPr>
          <w:p w:rsidR="00B834CD" w:rsidRPr="00931EC0" w:rsidRDefault="00777806" w:rsidP="00D75D4A">
            <w:pPr>
              <w:rPr>
                <w:sz w:val="20"/>
              </w:rPr>
            </w:pPr>
            <w:r>
              <w:rPr>
                <w:sz w:val="20"/>
              </w:rPr>
              <w:t>Maths, English and ESOL</w:t>
            </w:r>
          </w:p>
        </w:tc>
      </w:tr>
    </w:tbl>
    <w:p w:rsidR="00B834CD" w:rsidRDefault="00B834CD" w:rsidP="00B834CD">
      <w:pPr>
        <w:rPr>
          <w:b/>
        </w:r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39"/>
        <w:gridCol w:w="1276"/>
        <w:gridCol w:w="1276"/>
      </w:tblGrid>
      <w:tr w:rsidR="00B834CD" w:rsidRPr="00931EC0" w:rsidTr="0037704B">
        <w:tc>
          <w:tcPr>
            <w:tcW w:w="7939" w:type="dxa"/>
            <w:tcBorders>
              <w:top w:val="nil"/>
              <w:left w:val="nil"/>
            </w:tcBorders>
          </w:tcPr>
          <w:p w:rsidR="00B834CD" w:rsidRPr="00931EC0" w:rsidRDefault="00B834CD" w:rsidP="00D27D32">
            <w:pPr>
              <w:rPr>
                <w:b/>
                <w:sz w:val="20"/>
              </w:rPr>
            </w:pPr>
            <w:r w:rsidRPr="00931EC0">
              <w:rPr>
                <w:b/>
                <w:sz w:val="20"/>
              </w:rPr>
              <w:t>Key Requirements: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Essential/</w:t>
            </w:r>
          </w:p>
          <w:p w:rsidR="00B834CD" w:rsidRPr="00931EC0" w:rsidRDefault="00B834CD" w:rsidP="00D27D32">
            <w:pPr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Desirable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834CD" w:rsidRPr="00931EC0" w:rsidRDefault="00B834CD" w:rsidP="00D27D3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Assessed</w:t>
            </w:r>
          </w:p>
        </w:tc>
      </w:tr>
      <w:tr w:rsidR="00B834CD" w:rsidRPr="00931EC0" w:rsidTr="0037704B">
        <w:tc>
          <w:tcPr>
            <w:tcW w:w="7939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rPr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Qualifications: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777806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Professional</w:t>
            </w:r>
            <w:r w:rsidR="00777806">
              <w:rPr>
                <w:rFonts w:cs="Arial"/>
                <w:sz w:val="20"/>
              </w:rPr>
              <w:t xml:space="preserve"> qualification and/or degree </w:t>
            </w:r>
            <w:r w:rsidRPr="00931EC0">
              <w:rPr>
                <w:rFonts w:cs="Arial"/>
                <w:sz w:val="20"/>
              </w:rPr>
              <w:t>or relevant discipline</w:t>
            </w:r>
          </w:p>
        </w:tc>
        <w:tc>
          <w:tcPr>
            <w:tcW w:w="1276" w:type="dxa"/>
          </w:tcPr>
          <w:p w:rsidR="00B834CD" w:rsidRPr="00931EC0" w:rsidRDefault="0067060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</w:t>
            </w:r>
          </w:p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A teaching qualification or willingness to gain Cert Ed within 2 years of commencement of employment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Minimum of a level 2 qualification in English and maths or willingness to work towards within 2 years of commencement of employment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37704B">
        <w:tc>
          <w:tcPr>
            <w:tcW w:w="7939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Experience: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E43667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 xml:space="preserve">Recent and substantial professional </w:t>
            </w:r>
            <w:r w:rsidR="00931EC0" w:rsidRPr="00931EC0">
              <w:rPr>
                <w:rFonts w:cs="Arial"/>
                <w:sz w:val="20"/>
              </w:rPr>
              <w:t xml:space="preserve">work </w:t>
            </w:r>
            <w:r w:rsidRPr="00931EC0">
              <w:rPr>
                <w:rFonts w:cs="Arial"/>
                <w:sz w:val="20"/>
              </w:rPr>
              <w:t xml:space="preserve">experience in </w:t>
            </w:r>
            <w:r w:rsidR="00E43667">
              <w:rPr>
                <w:rFonts w:cs="Arial"/>
                <w:sz w:val="20"/>
              </w:rPr>
              <w:t>the ESOL</w:t>
            </w:r>
            <w:r w:rsidRPr="00931EC0">
              <w:rPr>
                <w:rFonts w:cs="Arial"/>
                <w:sz w:val="20"/>
              </w:rPr>
              <w:t xml:space="preserve"> sector, or similar setting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Recent teaching/training experience</w:t>
            </w:r>
            <w:r w:rsidR="00086B00" w:rsidRPr="00931E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B834CD" w:rsidRPr="00931EC0" w:rsidRDefault="00086B00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931EC0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 xml:space="preserve">Experience of delivering </w:t>
            </w:r>
            <w:r w:rsidR="00931EC0" w:rsidRPr="00931EC0">
              <w:rPr>
                <w:rFonts w:cs="Arial"/>
                <w:sz w:val="20"/>
              </w:rPr>
              <w:t>learning</w:t>
            </w:r>
            <w:r w:rsidRPr="00931EC0">
              <w:rPr>
                <w:rFonts w:cs="Arial"/>
                <w:sz w:val="20"/>
              </w:rPr>
              <w:t xml:space="preserve"> to 16-18 year olds as well as adult learners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E43667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 xml:space="preserve">Experience of teaching on </w:t>
            </w:r>
            <w:r w:rsidR="00E43667">
              <w:rPr>
                <w:rFonts w:cs="Arial"/>
                <w:sz w:val="20"/>
              </w:rPr>
              <w:t xml:space="preserve">ESOL </w:t>
            </w:r>
            <w:r w:rsidRPr="00931EC0">
              <w:rPr>
                <w:rFonts w:cs="Arial"/>
                <w:sz w:val="20"/>
              </w:rPr>
              <w:t>courses and integrating key skills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u w:val="none"/>
              </w:rPr>
            </w:pPr>
            <w:r w:rsidRPr="00931EC0">
              <w:rPr>
                <w:rFonts w:ascii="Arial" w:hAnsi="Arial" w:cs="Arial"/>
                <w:b/>
                <w:u w:val="none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Experience of performing assessment, verification and/or lead internal verifier responsibilities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u w:val="none"/>
              </w:rPr>
            </w:pPr>
            <w:r w:rsidRPr="00931EC0">
              <w:rPr>
                <w:rFonts w:ascii="Arial" w:hAnsi="Arial" w:cs="Arial"/>
                <w:b/>
                <w:u w:val="none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F94B7B" w:rsidRPr="00931EC0" w:rsidTr="00D27D32">
        <w:tc>
          <w:tcPr>
            <w:tcW w:w="7939" w:type="dxa"/>
          </w:tcPr>
          <w:p w:rsidR="00F94B7B" w:rsidRPr="00931EC0" w:rsidRDefault="00F94B7B" w:rsidP="007B3AB3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Experience delivering GCSE and/or A Level Science</w:t>
            </w:r>
          </w:p>
        </w:tc>
        <w:tc>
          <w:tcPr>
            <w:tcW w:w="1276" w:type="dxa"/>
          </w:tcPr>
          <w:p w:rsidR="00F94B7B" w:rsidRPr="00931EC0" w:rsidRDefault="00F94B7B" w:rsidP="007B3A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1276" w:type="dxa"/>
          </w:tcPr>
          <w:p w:rsidR="00F94B7B" w:rsidRPr="00931EC0" w:rsidRDefault="00F94B7B" w:rsidP="007B3A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37704B">
        <w:tc>
          <w:tcPr>
            <w:tcW w:w="7939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Skills/Knowledge: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  <w:t>Excellent organisational, administrative and time management skills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  <w:t xml:space="preserve">Ability to work as part of a team 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  <w:t>Excellent interpersonal skills with the ability to listen and challenge in a supportive manner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Ability to use IT in the classroom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Ability to offer Functional English and/or Functional Maths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37704B">
        <w:tc>
          <w:tcPr>
            <w:tcW w:w="7939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Qualities: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</w:rPr>
              <w:t>Ability work under pressure and meet deadlines including assessment, marking and feedback processes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</w:rPr>
              <w:t>Self-managing and responsive with the ability to reflect on own performance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</w:rPr>
              <w:t>A willingness to consistently improve through tailored CPD and industry updates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</w:rPr>
              <w:t>A respectful and inclusive attitude to learners and colleagues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pStyle w:val="Body1"/>
              <w:outlineLvl w:val="9"/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</w:pPr>
            <w:r w:rsidRPr="00931EC0">
              <w:rPr>
                <w:rFonts w:ascii="Arial" w:hAnsi="Arial" w:cs="Arial"/>
                <w:color w:val="auto"/>
                <w:sz w:val="20"/>
                <w:szCs w:val="22"/>
                <w:u w:color="00B050"/>
              </w:rPr>
              <w:t xml:space="preserve">A passion for improving the learner experience 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rFonts w:cs="Arial"/>
                <w:sz w:val="20"/>
              </w:rPr>
            </w:pPr>
            <w:r w:rsidRPr="00931EC0">
              <w:rPr>
                <w:rFonts w:cs="Arial"/>
                <w:sz w:val="20"/>
              </w:rPr>
              <w:t>A flexible and innovative approach to teaching, learning and assessment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31EC0">
              <w:rPr>
                <w:rFonts w:cs="Arial"/>
                <w:b/>
                <w:bCs/>
                <w:sz w:val="20"/>
              </w:rPr>
              <w:t>A/I</w:t>
            </w:r>
          </w:p>
        </w:tc>
      </w:tr>
      <w:tr w:rsidR="00B834CD" w:rsidRPr="00931EC0" w:rsidTr="0037704B">
        <w:tc>
          <w:tcPr>
            <w:tcW w:w="7939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  <w:r w:rsidRPr="00931EC0">
              <w:rPr>
                <w:b/>
                <w:color w:val="FFFFFF" w:themeColor="background1"/>
                <w:sz w:val="20"/>
              </w:rPr>
              <w:t>Other Requirements: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B834CD" w:rsidRPr="00931EC0" w:rsidRDefault="00B834CD" w:rsidP="00D27D32">
            <w:pPr>
              <w:spacing w:before="120" w:after="120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b/>
                <w:sz w:val="20"/>
              </w:rPr>
            </w:pPr>
            <w:r w:rsidRPr="00931EC0">
              <w:rPr>
                <w:sz w:val="20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b/>
                <w:sz w:val="20"/>
              </w:rPr>
            </w:pPr>
            <w:r w:rsidRPr="00931EC0">
              <w:rPr>
                <w:b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b/>
                <w:sz w:val="20"/>
              </w:rPr>
            </w:pPr>
            <w:r w:rsidRPr="00931EC0">
              <w:rPr>
                <w:b/>
                <w:sz w:val="20"/>
              </w:rPr>
              <w:t>A/I</w:t>
            </w:r>
          </w:p>
        </w:tc>
      </w:tr>
      <w:tr w:rsidR="00B834CD" w:rsidRPr="00931EC0" w:rsidTr="00D27D32">
        <w:tc>
          <w:tcPr>
            <w:tcW w:w="7939" w:type="dxa"/>
          </w:tcPr>
          <w:p w:rsidR="00B834CD" w:rsidRPr="00931EC0" w:rsidRDefault="00B834CD" w:rsidP="00D27D32">
            <w:pPr>
              <w:rPr>
                <w:b/>
                <w:sz w:val="20"/>
              </w:rPr>
            </w:pPr>
            <w:r w:rsidRPr="00931EC0">
              <w:rPr>
                <w:sz w:val="20"/>
              </w:rPr>
              <w:t xml:space="preserve">Full commitment </w:t>
            </w:r>
            <w:r w:rsidR="0037704B" w:rsidRPr="00931EC0">
              <w:rPr>
                <w:sz w:val="20"/>
              </w:rPr>
              <w:t>to Equal Opportunities and anti-</w:t>
            </w:r>
            <w:r w:rsidRPr="00931EC0">
              <w:rPr>
                <w:sz w:val="20"/>
              </w:rPr>
              <w:t>discriminatory working practices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b/>
                <w:sz w:val="20"/>
              </w:rPr>
            </w:pPr>
            <w:r w:rsidRPr="00931EC0">
              <w:rPr>
                <w:b/>
                <w:sz w:val="20"/>
              </w:rPr>
              <w:t>E</w:t>
            </w:r>
          </w:p>
        </w:tc>
        <w:tc>
          <w:tcPr>
            <w:tcW w:w="1276" w:type="dxa"/>
          </w:tcPr>
          <w:p w:rsidR="00B834CD" w:rsidRPr="00931EC0" w:rsidRDefault="00B834CD" w:rsidP="00D27D32">
            <w:pPr>
              <w:jc w:val="center"/>
              <w:rPr>
                <w:b/>
                <w:sz w:val="20"/>
              </w:rPr>
            </w:pPr>
            <w:r w:rsidRPr="00931EC0">
              <w:rPr>
                <w:b/>
                <w:sz w:val="20"/>
              </w:rPr>
              <w:t>A/I</w:t>
            </w:r>
          </w:p>
        </w:tc>
      </w:tr>
    </w:tbl>
    <w:p w:rsidR="00B834CD" w:rsidRDefault="00B834CD" w:rsidP="00B834CD">
      <w:pPr>
        <w:rPr>
          <w:b/>
        </w:rPr>
      </w:pPr>
    </w:p>
    <w:p w:rsidR="00B834CD" w:rsidRDefault="0037704B" w:rsidP="00B834CD">
      <w:pPr>
        <w:jc w:val="both"/>
        <w:rPr>
          <w:b/>
        </w:rPr>
      </w:pPr>
      <w:r>
        <w:rPr>
          <w:b/>
        </w:rPr>
        <w:t>E = Essential</w:t>
      </w:r>
      <w:r>
        <w:rPr>
          <w:b/>
        </w:rPr>
        <w:tab/>
        <w:t xml:space="preserve">          </w:t>
      </w:r>
      <w:r w:rsidR="00B834CD">
        <w:rPr>
          <w:b/>
        </w:rPr>
        <w:t>D = Desirable</w:t>
      </w:r>
      <w:r>
        <w:rPr>
          <w:b/>
        </w:rPr>
        <w:t xml:space="preserve">           A = Application           </w:t>
      </w:r>
      <w:r w:rsidR="00B834CD">
        <w:rPr>
          <w:b/>
        </w:rPr>
        <w:t xml:space="preserve">I = </w:t>
      </w:r>
      <w:r>
        <w:rPr>
          <w:b/>
        </w:rPr>
        <w:t xml:space="preserve">Interview           </w:t>
      </w:r>
      <w:r w:rsidR="00B834CD">
        <w:rPr>
          <w:b/>
        </w:rPr>
        <w:t>T = Test</w:t>
      </w:r>
    </w:p>
    <w:p w:rsidR="00B834CD" w:rsidRDefault="00B834CD" w:rsidP="00B834CD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096"/>
        <w:gridCol w:w="1551"/>
        <w:gridCol w:w="4001"/>
      </w:tblGrid>
      <w:tr w:rsidR="00B834CD" w:rsidTr="0037704B">
        <w:trPr>
          <w:trHeight w:val="519"/>
        </w:trPr>
        <w:tc>
          <w:tcPr>
            <w:tcW w:w="1843" w:type="dxa"/>
            <w:shd w:val="clear" w:color="auto" w:fill="95B3D7" w:themeFill="accent1" w:themeFillTint="99"/>
            <w:vAlign w:val="center"/>
          </w:tcPr>
          <w:p w:rsidR="00B834CD" w:rsidRPr="0041024F" w:rsidRDefault="00B834CD" w:rsidP="00D27D3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Produced by:</w:t>
            </w:r>
          </w:p>
        </w:tc>
        <w:tc>
          <w:tcPr>
            <w:tcW w:w="3096" w:type="dxa"/>
            <w:vAlign w:val="center"/>
          </w:tcPr>
          <w:p w:rsidR="00B834CD" w:rsidRDefault="0067060D" w:rsidP="00B834CD">
            <w:r>
              <w:t>Gail Redfern</w:t>
            </w:r>
          </w:p>
        </w:tc>
        <w:tc>
          <w:tcPr>
            <w:tcW w:w="1551" w:type="dxa"/>
            <w:shd w:val="clear" w:color="auto" w:fill="95B3D7" w:themeFill="accent1" w:themeFillTint="99"/>
            <w:vAlign w:val="center"/>
          </w:tcPr>
          <w:p w:rsidR="00B834CD" w:rsidRPr="0041024F" w:rsidRDefault="00B834CD" w:rsidP="00D27D3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Produced:</w:t>
            </w:r>
          </w:p>
        </w:tc>
        <w:tc>
          <w:tcPr>
            <w:tcW w:w="4001" w:type="dxa"/>
            <w:vAlign w:val="center"/>
          </w:tcPr>
          <w:p w:rsidR="00B834CD" w:rsidRDefault="0067060D" w:rsidP="00D27D32">
            <w:r>
              <w:t>07/02/2019</w:t>
            </w:r>
          </w:p>
        </w:tc>
      </w:tr>
    </w:tbl>
    <w:p w:rsidR="00FB20D7" w:rsidRPr="00CA02FF" w:rsidRDefault="00FB20D7" w:rsidP="00B834CD">
      <w:pPr>
        <w:pStyle w:val="Title"/>
        <w:spacing w:line="276" w:lineRule="auto"/>
        <w:ind w:left="2880" w:firstLine="720"/>
        <w:jc w:val="left"/>
        <w:rPr>
          <w:rFonts w:cs="Arial"/>
        </w:rPr>
      </w:pPr>
    </w:p>
    <w:sectPr w:rsidR="00FB20D7" w:rsidRPr="00CA02FF" w:rsidSect="00FB20D7">
      <w:footerReference w:type="default" r:id="rId8"/>
      <w:headerReference w:type="first" r:id="rId9"/>
      <w:footerReference w:type="first" r:id="rId10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3556DD" w:rsidRDefault="00777806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  <w:r w:rsidR="00B834CD">
              <w:rPr>
                <w:sz w:val="18"/>
                <w:szCs w:val="18"/>
              </w:rPr>
              <w:t xml:space="preserve"> – </w:t>
            </w:r>
            <w:r w:rsidR="003556DD">
              <w:rPr>
                <w:sz w:val="18"/>
                <w:szCs w:val="18"/>
              </w:rPr>
              <w:t>January 2019</w:t>
            </w:r>
          </w:p>
          <w:p w:rsidR="00CA02FF" w:rsidRPr="00CA02FF" w:rsidRDefault="00B834CD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4765C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4765C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3556DD">
              <w:rPr>
                <w:sz w:val="18"/>
                <w:szCs w:val="18"/>
              </w:rPr>
              <w:t>GR</w:t>
            </w:r>
            <w:r w:rsidRPr="00CA02FF">
              <w:rPr>
                <w:sz w:val="18"/>
                <w:szCs w:val="18"/>
              </w:rPr>
              <w:t xml:space="preserve"> – </w:t>
            </w:r>
            <w:r w:rsidR="003556DD">
              <w:rPr>
                <w:sz w:val="18"/>
                <w:szCs w:val="18"/>
              </w:rPr>
              <w:t>January 2019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4765C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4765C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6C3"/>
    <w:multiLevelType w:val="hybridMultilevel"/>
    <w:tmpl w:val="B900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00627"/>
    <w:multiLevelType w:val="hybridMultilevel"/>
    <w:tmpl w:val="B900B5DA"/>
    <w:lvl w:ilvl="0" w:tplc="0809000F">
      <w:start w:val="1"/>
      <w:numFmt w:val="decimal"/>
      <w:lvlText w:val="%1."/>
      <w:lvlJc w:val="left"/>
      <w:pPr>
        <w:ind w:left="740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0217"/>
    <w:multiLevelType w:val="hybridMultilevel"/>
    <w:tmpl w:val="3D4E6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2044"/>
    <w:multiLevelType w:val="hybridMultilevel"/>
    <w:tmpl w:val="1B6C4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60FC"/>
    <w:multiLevelType w:val="hybridMultilevel"/>
    <w:tmpl w:val="47CCCB90"/>
    <w:lvl w:ilvl="0" w:tplc="0809000F">
      <w:start w:val="1"/>
      <w:numFmt w:val="decimal"/>
      <w:lvlText w:val="%1."/>
      <w:lvlJc w:val="left"/>
      <w:pPr>
        <w:ind w:left="740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8659A"/>
    <w:multiLevelType w:val="hybridMultilevel"/>
    <w:tmpl w:val="96AA9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3"/>
    <w:rsid w:val="0005019B"/>
    <w:rsid w:val="000550F4"/>
    <w:rsid w:val="00077D15"/>
    <w:rsid w:val="00086B00"/>
    <w:rsid w:val="000B1F2A"/>
    <w:rsid w:val="000B4025"/>
    <w:rsid w:val="000C3063"/>
    <w:rsid w:val="000E1DAE"/>
    <w:rsid w:val="000E3682"/>
    <w:rsid w:val="00117829"/>
    <w:rsid w:val="00147E97"/>
    <w:rsid w:val="001552AF"/>
    <w:rsid w:val="001561A4"/>
    <w:rsid w:val="001A6FEA"/>
    <w:rsid w:val="001B052A"/>
    <w:rsid w:val="001B14AC"/>
    <w:rsid w:val="001F6917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11084"/>
    <w:rsid w:val="00324923"/>
    <w:rsid w:val="003259AF"/>
    <w:rsid w:val="00346273"/>
    <w:rsid w:val="003556DD"/>
    <w:rsid w:val="00365FE1"/>
    <w:rsid w:val="00366916"/>
    <w:rsid w:val="0037704B"/>
    <w:rsid w:val="00382D9A"/>
    <w:rsid w:val="003857A7"/>
    <w:rsid w:val="003B348D"/>
    <w:rsid w:val="003B7C1C"/>
    <w:rsid w:val="003D1181"/>
    <w:rsid w:val="0041024F"/>
    <w:rsid w:val="0044765C"/>
    <w:rsid w:val="004547BB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060D"/>
    <w:rsid w:val="00673348"/>
    <w:rsid w:val="006C5120"/>
    <w:rsid w:val="00742877"/>
    <w:rsid w:val="00774F82"/>
    <w:rsid w:val="00777806"/>
    <w:rsid w:val="007A07A1"/>
    <w:rsid w:val="007A3CC7"/>
    <w:rsid w:val="007B60FE"/>
    <w:rsid w:val="007C1F90"/>
    <w:rsid w:val="007C205B"/>
    <w:rsid w:val="007E6152"/>
    <w:rsid w:val="007E755C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1EC0"/>
    <w:rsid w:val="009367F9"/>
    <w:rsid w:val="00944E29"/>
    <w:rsid w:val="00963087"/>
    <w:rsid w:val="00996B1E"/>
    <w:rsid w:val="009C3455"/>
    <w:rsid w:val="009C6C35"/>
    <w:rsid w:val="009C6E4C"/>
    <w:rsid w:val="009D3CD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834CD"/>
    <w:rsid w:val="00B9500F"/>
    <w:rsid w:val="00B97FF9"/>
    <w:rsid w:val="00BC7265"/>
    <w:rsid w:val="00BE6727"/>
    <w:rsid w:val="00BE6A80"/>
    <w:rsid w:val="00C46864"/>
    <w:rsid w:val="00C7146E"/>
    <w:rsid w:val="00C77CF8"/>
    <w:rsid w:val="00C95BB9"/>
    <w:rsid w:val="00CA02FF"/>
    <w:rsid w:val="00CA064B"/>
    <w:rsid w:val="00CB1C35"/>
    <w:rsid w:val="00CD74F3"/>
    <w:rsid w:val="00CF0622"/>
    <w:rsid w:val="00D12521"/>
    <w:rsid w:val="00D23CC2"/>
    <w:rsid w:val="00D243AF"/>
    <w:rsid w:val="00D63AFB"/>
    <w:rsid w:val="00D75D4A"/>
    <w:rsid w:val="00D94AEF"/>
    <w:rsid w:val="00DC35F3"/>
    <w:rsid w:val="00E317AE"/>
    <w:rsid w:val="00E43667"/>
    <w:rsid w:val="00E62060"/>
    <w:rsid w:val="00E82595"/>
    <w:rsid w:val="00EB5B9E"/>
    <w:rsid w:val="00F01C1C"/>
    <w:rsid w:val="00F11035"/>
    <w:rsid w:val="00F75A74"/>
    <w:rsid w:val="00F83873"/>
    <w:rsid w:val="00F93F0A"/>
    <w:rsid w:val="00F94B7B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96E8BD7-2080-4571-A3C6-0AECBF9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ody1">
    <w:name w:val="Body 1"/>
    <w:rsid w:val="00B834C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386AFF-0B16-45FB-B6F6-C557E9A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Lawson, Hannah</cp:lastModifiedBy>
  <cp:revision>2</cp:revision>
  <cp:lastPrinted>2018-12-05T11:46:00Z</cp:lastPrinted>
  <dcterms:created xsi:type="dcterms:W3CDTF">2019-02-07T14:55:00Z</dcterms:created>
  <dcterms:modified xsi:type="dcterms:W3CDTF">2019-02-07T14:55:00Z</dcterms:modified>
</cp:coreProperties>
</file>