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120" w:lineRule="auto"/>
        <w:ind w:left="36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w:t>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Firth Park Academy</w:t>
        <w:tab/>
        <w:tab/>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As directed by the Principal</w:t>
        <w:tab/>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  Director of Learning</w:t>
        <w:tab/>
        <w:tab/>
      </w: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General professional duties of all teachers are specified in the Conditions of Employment</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MPS teacher is responsible for:</w:t>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Their own Professional Development</w:t>
      </w:r>
    </w:p>
    <w:p w:rsidR="00000000" w:rsidDel="00000000" w:rsidP="00000000" w:rsidRDefault="00000000" w:rsidRPr="00000000" w14:paraId="0000001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VP  Curriculum</w:t>
      </w:r>
    </w:p>
    <w:p w:rsidR="00000000" w:rsidDel="00000000" w:rsidP="00000000" w:rsidRDefault="00000000" w:rsidRPr="00000000" w14:paraId="0000001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evaluating their own teaching critically and use this to improve their effectiveness</w:t>
      </w:r>
    </w:p>
    <w:p w:rsidR="00000000" w:rsidDel="00000000" w:rsidP="00000000" w:rsidRDefault="00000000" w:rsidRPr="00000000" w14:paraId="0000001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school policies and practices</w:t>
      </w:r>
    </w:p>
    <w:p w:rsidR="00000000" w:rsidDel="00000000" w:rsidP="00000000" w:rsidRDefault="00000000" w:rsidRPr="00000000" w14:paraId="0000001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 good example to the pupils they teach in their presentation and their personal conduct</w:t>
      </w:r>
    </w:p>
    <w:p w:rsidR="00000000" w:rsidDel="00000000" w:rsidP="00000000" w:rsidRDefault="00000000" w:rsidRPr="00000000" w14:paraId="0000001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Performance Management arrangements</w:t>
      </w:r>
    </w:p>
    <w:p w:rsidR="00000000" w:rsidDel="00000000" w:rsidP="00000000" w:rsidRDefault="00000000" w:rsidRPr="00000000" w14:paraId="0000001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Teaching and Managing Pupil Learning</w:t>
      </w:r>
    </w:p>
    <w:p w:rsidR="00000000" w:rsidDel="00000000" w:rsidP="00000000" w:rsidRDefault="00000000" w:rsidRPr="00000000" w14:paraId="0000001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1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appropriate and demanding expectations for pupils’ learning and motivation. </w:t>
      </w:r>
    </w:p>
    <w:p w:rsidR="00000000" w:rsidDel="00000000" w:rsidP="00000000" w:rsidRDefault="00000000" w:rsidRPr="00000000" w14:paraId="0000002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clear targets for pupils' learning, building on prior attainment and considering each pupil as an individual</w:t>
      </w:r>
    </w:p>
    <w:p w:rsidR="00000000" w:rsidDel="00000000" w:rsidP="00000000" w:rsidRDefault="00000000" w:rsidRPr="00000000" w14:paraId="0000002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IEPs to identify pupils who have special educational needs, and </w:t>
      </w:r>
    </w:p>
    <w:p w:rsidR="00000000" w:rsidDel="00000000" w:rsidP="00000000" w:rsidRDefault="00000000" w:rsidRPr="00000000" w14:paraId="0000002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2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liaising effectively with support staff working within Department</w:t>
      </w:r>
    </w:p>
    <w:p w:rsidR="00000000" w:rsidDel="00000000" w:rsidP="00000000" w:rsidRDefault="00000000" w:rsidRPr="00000000" w14:paraId="0000002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extra-curricular activities to extend and challenge pupils for at least two after school sessions per week each of forty-five minutes.</w:t>
      </w:r>
    </w:p>
    <w:p w:rsidR="00000000" w:rsidDel="00000000" w:rsidP="00000000" w:rsidRDefault="00000000" w:rsidRPr="00000000" w14:paraId="00000028">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Monitoring and Assessing Pupil Progress </w:t>
      </w:r>
    </w:p>
    <w:p w:rsidR="00000000" w:rsidDel="00000000" w:rsidP="00000000" w:rsidRDefault="00000000" w:rsidRPr="00000000" w14:paraId="0000002A">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2B">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w:t>
      </w:r>
    </w:p>
    <w:p w:rsidR="00000000" w:rsidDel="00000000" w:rsidP="00000000" w:rsidRDefault="00000000" w:rsidRPr="00000000" w14:paraId="0000002C">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maintaining full records of attendance, homework, National Curriculum Attainments, and examinations for pupils taught, including members of your tutor group</w:t>
      </w:r>
    </w:p>
    <w:p w:rsidR="00000000" w:rsidDel="00000000" w:rsidP="00000000" w:rsidRDefault="00000000" w:rsidRPr="00000000" w14:paraId="0000002D">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producing and analysing teaching group examination predictions and results as requested by the Head of Department and the VP Teaching and Learning</w:t>
      </w:r>
    </w:p>
    <w:p w:rsidR="00000000" w:rsidDel="00000000" w:rsidP="00000000" w:rsidRDefault="00000000" w:rsidRPr="00000000" w14:paraId="0000002E">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2F">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30">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mentoring and negotiating individual targets for tutees</w:t>
      </w:r>
    </w:p>
    <w:p w:rsidR="00000000" w:rsidDel="00000000" w:rsidP="00000000" w:rsidRDefault="00000000" w:rsidRPr="00000000" w14:paraId="00000031">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Resources within the Department </w:t>
      </w:r>
    </w:p>
    <w:p w:rsidR="00000000" w:rsidDel="00000000" w:rsidP="00000000" w:rsidRDefault="00000000" w:rsidRPr="00000000" w14:paraId="0000003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w:t>
      </w:r>
    </w:p>
    <w:p w:rsidR="00000000" w:rsidDel="00000000" w:rsidP="00000000" w:rsidRDefault="00000000" w:rsidRPr="00000000" w14:paraId="0000003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stock and equipment is well cared for and economically used</w:t>
      </w:r>
    </w:p>
    <w:p w:rsidR="00000000" w:rsidDel="00000000" w:rsidP="00000000" w:rsidRDefault="00000000" w:rsidRPr="00000000" w14:paraId="0000003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departmental rooms present a stimulating and tidy environment</w:t>
      </w:r>
    </w:p>
    <w:p w:rsidR="00000000" w:rsidDel="00000000" w:rsidP="00000000" w:rsidRDefault="00000000" w:rsidRPr="00000000" w14:paraId="0000003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implementing the Academy Health and Safety Policy</w:t>
      </w:r>
    </w:p>
    <w:p w:rsidR="00000000" w:rsidDel="00000000" w:rsidP="00000000" w:rsidRDefault="00000000" w:rsidRPr="00000000" w14:paraId="0000003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Health and Safety policies and practices, for your subject including Risk Assessments, throughout your lessons are in-line with national requirements.</w:t>
      </w:r>
    </w:p>
    <w:p w:rsidR="00000000" w:rsidDel="00000000" w:rsidP="00000000" w:rsidRDefault="00000000" w:rsidRPr="00000000" w14:paraId="00000038">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Communication with Parents</w:t>
      </w:r>
    </w:p>
    <w:p w:rsidR="00000000" w:rsidDel="00000000" w:rsidP="00000000" w:rsidRDefault="00000000" w:rsidRPr="00000000" w14:paraId="0000003A">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attending any appropriate meetings with parents</w:t>
      </w:r>
    </w:p>
    <w:p w:rsidR="00000000" w:rsidDel="00000000" w:rsidP="00000000" w:rsidRDefault="00000000" w:rsidRPr="00000000" w14:paraId="0000003B">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informative reports to parents </w:t>
      </w:r>
    </w:p>
    <w:p w:rsidR="00000000" w:rsidDel="00000000" w:rsidP="00000000" w:rsidRDefault="00000000" w:rsidRPr="00000000" w14:paraId="0000003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raising, in consultation with the Head of Department, particular concerns regarding students with parents</w:t>
      </w:r>
    </w:p>
    <w:p w:rsidR="00000000" w:rsidDel="00000000" w:rsidP="00000000" w:rsidRDefault="00000000" w:rsidRPr="00000000" w14:paraId="0000003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Internal Communication</w:t>
      </w:r>
    </w:p>
    <w:p w:rsidR="00000000" w:rsidDel="00000000" w:rsidP="00000000" w:rsidRDefault="00000000" w:rsidRPr="00000000" w14:paraId="0000003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representing the views and interests of the Department to the Head of Department and LG</w:t>
      </w:r>
    </w:p>
    <w:p w:rsidR="00000000" w:rsidDel="00000000" w:rsidP="00000000" w:rsidRDefault="00000000" w:rsidRPr="00000000" w14:paraId="0000004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information required by HODs., HOY, SENCO or LG</w:t>
      </w:r>
    </w:p>
    <w:p w:rsidR="00000000" w:rsidDel="00000000" w:rsidP="00000000" w:rsidRDefault="00000000" w:rsidRPr="00000000" w14:paraId="0000004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participating in Departmental Meetings </w:t>
      </w:r>
    </w:p>
    <w:p w:rsidR="00000000" w:rsidDel="00000000" w:rsidP="00000000" w:rsidRDefault="00000000" w:rsidRPr="00000000" w14:paraId="00000042">
      <w:pPr>
        <w:ind w:left="6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Staff Absence</w:t>
      </w:r>
    </w:p>
    <w:p w:rsidR="00000000" w:rsidDel="00000000" w:rsidP="00000000" w:rsidRDefault="00000000" w:rsidRPr="00000000" w14:paraId="00000044">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appropriate work has been set and that the resources required are available</w:t>
      </w:r>
    </w:p>
    <w:p w:rsidR="00000000" w:rsidDel="00000000" w:rsidP="00000000" w:rsidRDefault="00000000" w:rsidRPr="00000000" w14:paraId="00000045">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supply staff who are working within the Department</w:t>
      </w:r>
    </w:p>
    <w:p w:rsidR="00000000" w:rsidDel="00000000" w:rsidP="00000000" w:rsidRDefault="00000000" w:rsidRPr="00000000" w14:paraId="0000004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7">
      <w:pPr>
        <w:keepNext w:val="1"/>
        <w:keepLines w:val="1"/>
        <w:spacing w:after="120" w:before="120" w:lineRule="auto"/>
        <w:ind w:left="360" w:hanging="360"/>
        <w:rPr>
          <w:rFonts w:ascii="PT Sans" w:cs="PT Sans" w:eastAsia="PT Sans" w:hAnsi="PT Sans"/>
          <w:b w:val="1"/>
          <w:color w:val="000000"/>
          <w:sz w:val="22"/>
          <w:szCs w:val="22"/>
        </w:rPr>
      </w:pPr>
      <w:r w:rsidDel="00000000" w:rsidR="00000000" w:rsidRPr="00000000">
        <w:rPr>
          <w:rFonts w:ascii="PT Sans" w:cs="PT Sans" w:eastAsia="PT Sans" w:hAnsi="PT Sans"/>
          <w:b w:val="1"/>
          <w:color w:val="000000"/>
          <w:sz w:val="22"/>
          <w:szCs w:val="22"/>
          <w:rtl w:val="0"/>
        </w:rPr>
        <w:t xml:space="preserve">Additional Specific Responsibilities</w:t>
      </w:r>
    </w:p>
    <w:p w:rsidR="00000000" w:rsidDel="00000000" w:rsidP="00000000" w:rsidRDefault="00000000" w:rsidRPr="00000000" w14:paraId="0000004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 negotiated with the HOD or HOY in the interests of the pupils and of the CPD of the member of staff </w:t>
      </w:r>
    </w:p>
    <w:p w:rsidR="00000000" w:rsidDel="00000000" w:rsidP="00000000" w:rsidRDefault="00000000" w:rsidRPr="00000000" w14:paraId="0000004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C">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D">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5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1">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52">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3">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4">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5">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6">
      <w:pPr>
        <w:numPr>
          <w:ilvl w:val="0"/>
          <w:numId w:val="1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7">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59">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A">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Teachers’ Pay and Conditions. </w:t>
      </w:r>
      <w:r w:rsidDel="00000000" w:rsidR="00000000" w:rsidRPr="00000000">
        <w:rPr>
          <w:rFonts w:ascii="PT Sans" w:cs="PT Sans" w:eastAsia="PT Sans" w:hAnsi="PT Sans"/>
          <w:b w:val="1"/>
          <w:color w:val="222222"/>
          <w:sz w:val="22"/>
          <w:szCs w:val="22"/>
          <w:rtl w:val="0"/>
        </w:rPr>
        <w:t xml:space="preserve">(Please delete as appropriate)</w:t>
      </w:r>
    </w:p>
    <w:p w:rsidR="00000000" w:rsidDel="00000000" w:rsidP="00000000" w:rsidRDefault="00000000" w:rsidRPr="00000000" w14:paraId="0000005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60">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6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62">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6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4">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A">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w:t>
      </w:r>
    </w:p>
    <w:p w:rsidR="00000000" w:rsidDel="00000000" w:rsidP="00000000" w:rsidRDefault="00000000" w:rsidRPr="00000000" w14:paraId="0000007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E">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7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8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8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8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8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8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85">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QTS</w:t>
            </w:r>
          </w:p>
          <w:p w:rsidR="00000000" w:rsidDel="00000000" w:rsidP="00000000" w:rsidRDefault="00000000" w:rsidRPr="00000000" w14:paraId="00000086">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NQTs are welcome to apply</w:t>
            </w:r>
          </w:p>
        </w:tc>
        <w:tc>
          <w:tcPr/>
          <w:p w:rsidR="00000000" w:rsidDel="00000000" w:rsidP="00000000" w:rsidRDefault="00000000" w:rsidRPr="00000000" w14:paraId="00000087">
            <w:pPr>
              <w:numPr>
                <w:ilvl w:val="0"/>
                <w:numId w:val="9"/>
              </w:numPr>
              <w:ind w:left="720" w:hanging="360"/>
              <w:rPr>
                <w:rFonts w:ascii="PT Sans" w:cs="PT Sans" w:eastAsia="PT Sans" w:hAnsi="PT Sans"/>
                <w:sz w:val="22"/>
                <w:szCs w:val="22"/>
              </w:rPr>
            </w:pPr>
            <w:bookmarkStart w:colFirst="0" w:colLast="0" w:name="_heading=h.gjdgxs" w:id="0"/>
            <w:bookmarkEnd w:id="0"/>
            <w:r w:rsidDel="00000000" w:rsidR="00000000" w:rsidRPr="00000000">
              <w:rPr>
                <w:rtl w:val="0"/>
              </w:rPr>
            </w:r>
          </w:p>
        </w:tc>
      </w:tr>
      <w:tr>
        <w:tc>
          <w:tcPr/>
          <w:p w:rsidR="00000000" w:rsidDel="00000000" w:rsidP="00000000" w:rsidRDefault="00000000" w:rsidRPr="00000000" w14:paraId="0000008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B">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Teaching Experience</w:t>
            </w:r>
          </w:p>
        </w:tc>
        <w:tc>
          <w:tcPr/>
          <w:p w:rsidR="00000000" w:rsidDel="00000000" w:rsidP="00000000" w:rsidRDefault="00000000" w:rsidRPr="00000000" w14:paraId="0000008C">
            <w:pPr>
              <w:numPr>
                <w:ilvl w:val="0"/>
                <w:numId w:val="9"/>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F">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90">
            <w:pPr>
              <w:numPr>
                <w:ilvl w:val="0"/>
                <w:numId w:val="9"/>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93">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94">
            <w:pPr>
              <w:numPr>
                <w:ilvl w:val="0"/>
                <w:numId w:val="9"/>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7">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98">
            <w:pPr>
              <w:numPr>
                <w:ilvl w:val="0"/>
                <w:numId w:val="9"/>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C">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Qualified Teacher</w:t>
            </w:r>
          </w:p>
          <w:p w:rsidR="00000000" w:rsidDel="00000000" w:rsidP="00000000" w:rsidRDefault="00000000" w:rsidRPr="00000000" w14:paraId="0000009D">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E">
            <w:pPr>
              <w:numPr>
                <w:ilvl w:val="0"/>
                <w:numId w:val="9"/>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9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1">
            <w:pPr>
              <w:numPr>
                <w:ilvl w:val="0"/>
                <w:numId w:val="9"/>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Responsible and enthusiastic</w:t>
            </w:r>
          </w:p>
          <w:p w:rsidR="00000000" w:rsidDel="00000000" w:rsidP="00000000" w:rsidRDefault="00000000" w:rsidRPr="00000000" w14:paraId="000000A2">
            <w:pPr>
              <w:ind w:left="72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4">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5">
            <w:pPr>
              <w:numPr>
                <w:ilvl w:val="0"/>
                <w:numId w:val="9"/>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8">
            <w:pPr>
              <w:numPr>
                <w:ilvl w:val="0"/>
                <w:numId w:val="10"/>
              </w:numPr>
              <w:ind w:left="720" w:hanging="360"/>
              <w:rPr>
                <w:rFonts w:ascii="PT Sans" w:cs="PT Sans" w:eastAsia="PT Sans" w:hAnsi="PT Sans"/>
                <w:sz w:val="22"/>
                <w:szCs w:val="22"/>
              </w:rPr>
            </w:pPr>
            <w:bookmarkStart w:colFirst="0" w:colLast="0" w:name="_heading=h.30j0zll" w:id="1"/>
            <w:bookmarkEnd w:id="1"/>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9">
            <w:pPr>
              <w:numPr>
                <w:ilvl w:val="1"/>
                <w:numId w:val="10"/>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A">
            <w:pPr>
              <w:numPr>
                <w:ilvl w:val="1"/>
                <w:numId w:val="10"/>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B">
            <w:pPr>
              <w:numPr>
                <w:ilvl w:val="1"/>
                <w:numId w:val="10"/>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C">
            <w:pPr>
              <w:numPr>
                <w:ilvl w:val="1"/>
                <w:numId w:val="10"/>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AD">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AF">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0">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1">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2">
            <w:pPr>
              <w:numPr>
                <w:ilvl w:val="0"/>
                <w:numId w:val="9"/>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B3">
            <w:pPr>
              <w:numPr>
                <w:ilvl w:val="0"/>
                <w:numId w:val="9"/>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5">
      <w:pPr>
        <w:ind w:left="566" w:right="568"/>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pgMar w:bottom="425" w:top="566" w:left="425" w:right="286"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ind w:left="-141" w:hanging="141"/>
      <w:rPr/>
    </w:pPr>
    <w:r w:rsidDel="00000000" w:rsidR="00000000" w:rsidRPr="00000000">
      <w:rPr/>
      <mc:AlternateContent>
        <mc:Choice Requires="wpg">
          <w:drawing>
            <wp:inline distB="114300" distT="114300" distL="114300" distR="114300">
              <wp:extent cx="7320938" cy="681852"/>
              <wp:effectExtent b="0" l="0" r="0" t="0"/>
              <wp:docPr id="8"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ind w:left="992"/>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64674"/>
              <wp:effectExtent b="0" l="0" r="0" t="0"/>
              <wp:wrapTopAndBottom distB="114300" distT="114300"/>
              <wp:docPr id="9" name=""/>
              <a:graphic>
                <a:graphicData uri="http://schemas.microsoft.com/office/word/2010/wordprocessingGroup">
                  <wpg:wgp>
                    <wpg:cNvGrpSpPr/>
                    <wpg:grpSpPr>
                      <a:xfrm>
                        <a:off x="1690291" y="3454566"/>
                        <a:ext cx="7311418" cy="664674"/>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12" name="Shape 12"/>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64674"/>
              <wp:effectExtent b="0" l="0" r="0" t="0"/>
              <wp:wrapTopAndBottom distB="114300" distT="114300"/>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OVht4sSIOM+wHlbyi1KdBpZKQ==">AMUW2mXn/Up6vwpjhf0saZ2WD4Q4u5PnbRGrQoAoQWYKRgSuldoUccxOLm8DZFY8Veg9jc2VYqz1msphbCrTN+HtT6CsCYF0xhSbeyBhe24rRsZvPGDAEvw97rjcEDJFTnDTIAifoMD4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2020-01-31T08:11:00Z</dcterms:created>
  <dc:creator>Janice Young</dc:creator>
</cp:coreProperties>
</file>