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rFonts w:ascii="Verdana" w:cs="Verdana" w:eastAsia="Verdana" w:hAnsi="Verdana"/>
          <w:color w:val="222222"/>
          <w:sz w:val="20"/>
          <w:szCs w:val="20"/>
          <w:highlight w:val="white"/>
          <w:u w:val="singl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u w:val="singl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u w:val="singl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1"/>
          <w:color w:val="222222"/>
          <w:sz w:val="20"/>
          <w:szCs w:val="20"/>
          <w:highlight w:val="white"/>
        </w:rPr>
      </w:pPr>
      <w:r w:rsidDel="00000000" w:rsidR="00000000" w:rsidRPr="00000000">
        <w:rPr>
          <w:rFonts w:ascii="Verdana" w:cs="Verdana" w:eastAsia="Verdana" w:hAnsi="Verdana"/>
          <w:b w:val="1"/>
          <w:color w:val="222222"/>
          <w:sz w:val="20"/>
          <w:szCs w:val="20"/>
          <w:highlight w:val="white"/>
          <w:rtl w:val="0"/>
        </w:rPr>
        <w:t xml:space="preserve">About the Department</w:t>
      </w:r>
    </w:p>
    <w:p w:rsidR="00000000" w:rsidDel="00000000" w:rsidP="00000000" w:rsidRDefault="00000000" w:rsidRPr="00000000">
      <w:pPr>
        <w:contextualSpacing w:val="0"/>
        <w:rPr>
          <w:rFonts w:ascii="Verdana" w:cs="Verdana" w:eastAsia="Verdana" w:hAnsi="Verdana"/>
          <w:color w:val="222222"/>
          <w:sz w:val="20"/>
          <w:szCs w:val="20"/>
          <w:highlight w:val="white"/>
          <w:u w:val="singl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Fonts w:ascii="Verdana" w:cs="Verdana" w:eastAsia="Verdana" w:hAnsi="Verdana"/>
          <w:color w:val="222222"/>
          <w:sz w:val="20"/>
          <w:szCs w:val="20"/>
          <w:highlight w:val="white"/>
          <w:rtl w:val="0"/>
        </w:rPr>
        <w:t xml:space="preserve">The SEND and Inclusion Department  pride themselves on being a warm and caring environment where each individual is supported to achieve their potential.</w:t>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Fonts w:ascii="Verdana" w:cs="Verdana" w:eastAsia="Verdana" w:hAnsi="Verdana"/>
          <w:sz w:val="20"/>
          <w:szCs w:val="20"/>
          <w:highlight w:val="white"/>
          <w:rtl w:val="0"/>
        </w:rPr>
        <w:t xml:space="preserve">Following a planned strategic change the new staffing structure from September will </w:t>
      </w:r>
      <w:r w:rsidDel="00000000" w:rsidR="00000000" w:rsidRPr="00000000">
        <w:rPr>
          <w:rFonts w:ascii="Verdana" w:cs="Verdana" w:eastAsia="Verdana" w:hAnsi="Verdana"/>
          <w:sz w:val="20"/>
          <w:szCs w:val="20"/>
          <w:highlight w:val="white"/>
          <w:rtl w:val="0"/>
        </w:rPr>
        <w:t xml:space="preserve">include: an </w:t>
      </w:r>
      <w:r w:rsidDel="00000000" w:rsidR="00000000" w:rsidRPr="00000000">
        <w:rPr>
          <w:rFonts w:ascii="Verdana" w:cs="Verdana" w:eastAsia="Verdana" w:hAnsi="Verdana"/>
          <w:color w:val="222222"/>
          <w:sz w:val="20"/>
          <w:szCs w:val="20"/>
          <w:highlight w:val="white"/>
          <w:rtl w:val="0"/>
        </w:rPr>
        <w:t xml:space="preserve">Inclusion Teacher, three Higher Level Teaching Assistants, six Learning Support Assistants and two Teaching Assistants with planned accountability and responsibility at each level.  In addition, there are two administrative support staff attached to the department.  </w:t>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Fonts w:ascii="Verdana" w:cs="Verdana" w:eastAsia="Verdana" w:hAnsi="Verdana"/>
          <w:color w:val="222222"/>
          <w:sz w:val="20"/>
          <w:szCs w:val="20"/>
          <w:highlight w:val="white"/>
          <w:rtl w:val="0"/>
        </w:rPr>
        <w:t xml:space="preserve">The  new staffing structure will support the SENDCO/Inclusion Leader to drive strategic change.</w:t>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Fonts w:ascii="Verdana" w:cs="Verdana" w:eastAsia="Verdana" w:hAnsi="Verdana"/>
          <w:color w:val="222222"/>
          <w:sz w:val="20"/>
          <w:szCs w:val="20"/>
          <w:highlight w:val="white"/>
          <w:rtl w:val="0"/>
        </w:rPr>
        <w:t xml:space="preserve">A number of tailored intervention programmes are currently delivered by the team including Rapid Readers, MyLexia, Social Skills and Speech and Language Development.</w:t>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Fonts w:ascii="Verdana" w:cs="Verdana" w:eastAsia="Verdana" w:hAnsi="Verdana"/>
          <w:color w:val="222222"/>
          <w:sz w:val="20"/>
          <w:szCs w:val="20"/>
          <w:highlight w:val="white"/>
          <w:rtl w:val="0"/>
        </w:rPr>
        <w:t xml:space="preserve">The department is well resourced with a bank of computers, interactive whiteboard, whole class teaching area, and quiet study area which can also be used for small group interventions.  The department enj</w:t>
      </w:r>
      <w:r w:rsidDel="00000000" w:rsidR="00000000" w:rsidRPr="00000000">
        <w:rPr>
          <w:rFonts w:ascii="Verdana" w:cs="Verdana" w:eastAsia="Verdana" w:hAnsi="Verdana"/>
          <w:sz w:val="20"/>
          <w:szCs w:val="20"/>
          <w:highlight w:val="white"/>
          <w:rtl w:val="0"/>
        </w:rPr>
        <w:t xml:space="preserve">oy</w:t>
      </w:r>
      <w:r w:rsidDel="00000000" w:rsidR="00000000" w:rsidRPr="00000000">
        <w:rPr>
          <w:rFonts w:ascii="Verdana" w:cs="Verdana" w:eastAsia="Verdana" w:hAnsi="Verdana"/>
          <w:sz w:val="20"/>
          <w:szCs w:val="20"/>
          <w:highlight w:val="white"/>
          <w:rtl w:val="0"/>
        </w:rPr>
        <w:t xml:space="preserve">s</w:t>
      </w:r>
      <w:r w:rsidDel="00000000" w:rsidR="00000000" w:rsidRPr="00000000">
        <w:rPr>
          <w:rFonts w:ascii="Verdana" w:cs="Verdana" w:eastAsia="Verdana" w:hAnsi="Verdana"/>
          <w:sz w:val="20"/>
          <w:szCs w:val="20"/>
          <w:highlight w:val="white"/>
          <w:rtl w:val="0"/>
        </w:rPr>
        <w:t xml:space="preserve"> a </w:t>
      </w:r>
      <w:r w:rsidDel="00000000" w:rsidR="00000000" w:rsidRPr="00000000">
        <w:rPr>
          <w:rFonts w:ascii="Verdana" w:cs="Verdana" w:eastAsia="Verdana" w:hAnsi="Verdana"/>
          <w:color w:val="222222"/>
          <w:sz w:val="20"/>
          <w:szCs w:val="20"/>
          <w:highlight w:val="white"/>
          <w:rtl w:val="0"/>
        </w:rPr>
        <w:t xml:space="preserve">suite of rooms on the first floor, with far reaching views across rural Somerset.  </w:t>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Fonts w:ascii="Verdana" w:cs="Verdana" w:eastAsia="Verdana" w:hAnsi="Verdana"/>
          <w:color w:val="222222"/>
          <w:sz w:val="20"/>
          <w:szCs w:val="20"/>
          <w:highlight w:val="white"/>
          <w:rtl w:val="0"/>
        </w:rPr>
        <w:t xml:space="preserve">We are proud to be equipping our students with the skills to be able to enter into the next stage of their lives with confidence.</w:t>
      </w:r>
    </w:p>
    <w:p w:rsidR="00000000" w:rsidDel="00000000" w:rsidP="00000000" w:rsidRDefault="00000000" w:rsidRPr="00000000">
      <w:pPr>
        <w:contextualSpacing w:val="0"/>
        <w:rPr>
          <w:rFonts w:ascii="Verdana" w:cs="Verdana" w:eastAsia="Verdana" w:hAnsi="Verdana"/>
          <w:color w:val="222222"/>
          <w:sz w:val="20"/>
          <w:szCs w:val="20"/>
          <w:highlight w:val="whit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ff0000"/>
          <w:sz w:val="20"/>
          <w:szCs w:val="20"/>
          <w:highlight w:val="whit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0"/>
          <w:szCs w:val="20"/>
        </w:rPr>
      </w:pPr>
      <w:r w:rsidDel="00000000" w:rsidR="00000000" w:rsidRPr="00000000">
        <w:rPr>
          <w:rtl w:val="0"/>
        </w:rPr>
      </w:r>
    </w:p>
    <w:sectPr>
      <w:pgSz w:h="16838" w:w="11906"/>
      <w:pgMar w:bottom="850.3937007874016" w:top="720.0000000000001" w:left="720.0000000000001" w:right="720.00000000000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