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hanging="720"/>
        <w:contextualSpacing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b w:val="1"/>
          <w:sz w:val="20"/>
          <w:szCs w:val="20"/>
          <w:rtl w:val="0"/>
        </w:rPr>
        <w:t xml:space="preserve">Writhlington School and Mendip Studio School</w:t>
      </w:r>
    </w:p>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tl w:val="0"/>
        </w:rPr>
      </w:r>
    </w:p>
    <w:tbl>
      <w:tblPr>
        <w:tblStyle w:val="Table1"/>
        <w:tblW w:w="9245.0" w:type="dxa"/>
        <w:jc w:val="left"/>
        <w:tblInd w:w="-115.0" w:type="dxa"/>
        <w:tblLayout w:type="fixed"/>
        <w:tblLook w:val="0000"/>
      </w:tblPr>
      <w:tblGrid>
        <w:gridCol w:w="1951"/>
        <w:gridCol w:w="7294"/>
        <w:tblGridChange w:id="0">
          <w:tblGrid>
            <w:gridCol w:w="1951"/>
            <w:gridCol w:w="7294"/>
          </w:tblGrid>
        </w:tblGridChange>
      </w:tblGrid>
      <w:tr>
        <w:tc>
          <w:tcPr/>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pPr>
              <w:widowControl w:val="0"/>
              <w:spacing w:line="360" w:lineRule="auto"/>
              <w:contextualSpacing w:val="0"/>
              <w:jc w:val="both"/>
              <w:rPr>
                <w:rFonts w:ascii="Verdana" w:cs="Verdana" w:eastAsia="Verdana" w:hAnsi="Verdana"/>
                <w:sz w:val="20"/>
                <w:szCs w:val="20"/>
                <w:u w:val="single"/>
              </w:rPr>
            </w:pPr>
            <w:r w:rsidDel="00000000" w:rsidR="00000000" w:rsidRPr="00000000">
              <w:rPr>
                <w:rFonts w:ascii="Verdana" w:cs="Verdana" w:eastAsia="Verdana" w:hAnsi="Verdana"/>
                <w:sz w:val="20"/>
                <w:szCs w:val="20"/>
                <w:rtl w:val="0"/>
              </w:rPr>
              <w:t xml:space="preserve">SENDCo and Inclusion Leader</w:t>
            </w:r>
            <w:r w:rsidDel="00000000" w:rsidR="00000000" w:rsidRPr="00000000">
              <w:rPr>
                <w:rtl w:val="0"/>
              </w:rPr>
            </w:r>
          </w:p>
        </w:tc>
      </w:tr>
      <w:tr>
        <w:tc>
          <w:tcPr/>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Responsible to:</w:t>
            </w:r>
          </w:p>
        </w:tc>
        <w:tc>
          <w:tcPr/>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 Leader with responsibility for SEND and Inclusion</w:t>
            </w: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tl w:val="0"/>
              </w:rPr>
            </w:r>
          </w:p>
        </w:tc>
      </w:tr>
      <w:tr>
        <w:tc>
          <w:tcPr/>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Grade &amp; Hours:</w:t>
            </w:r>
          </w:p>
        </w:tc>
        <w:tc>
          <w:tcPr/>
          <w:p w:rsidR="00000000" w:rsidDel="00000000" w:rsidP="00000000" w:rsidRDefault="00000000" w:rsidRPr="00000000">
            <w:pPr>
              <w:widowControl w:val="0"/>
              <w:spacing w:line="36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Full Time </w:t>
            </w:r>
          </w:p>
        </w:tc>
      </w:tr>
    </w:tbl>
    <w:p w:rsidR="00000000" w:rsidDel="00000000" w:rsidP="00000000" w:rsidRDefault="00000000" w:rsidRPr="00000000">
      <w:pPr>
        <w:spacing w:after="192"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192"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Principal Tasks and Responsibilities</w:t>
      </w:r>
    </w:p>
    <w:p w:rsidR="00000000" w:rsidDel="00000000" w:rsidP="00000000" w:rsidRDefault="00000000" w:rsidRPr="00000000">
      <w:pPr>
        <w:spacing w:after="192"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SENDCo takes responsibility for the day to day operation of provision for students with SEND and for those being supported by the Inclusion Unit in Writhlington School and Mendip Studio School.   The SENDCo provides professional guidance in the area of SEND in order to secure high quality teaching and effective use of resources to bring about improved standards of achievement and attainment of students.</w:t>
      </w:r>
    </w:p>
    <w:p w:rsidR="00000000" w:rsidDel="00000000" w:rsidP="00000000" w:rsidRDefault="00000000" w:rsidRPr="00000000">
      <w:pPr>
        <w:spacing w:after="192"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Duties</w:t>
      </w:r>
    </w:p>
    <w:p w:rsidR="00000000" w:rsidDel="00000000" w:rsidP="00000000" w:rsidRDefault="00000000" w:rsidRPr="00000000">
      <w:pPr>
        <w:spacing w:after="192" w:line="240" w:lineRule="auto"/>
        <w:ind w:left="15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duties outlined in this job description are in addition to those covered by the latest School Teachers' Pay and Conditions Document. It may be modified by the head teacher, with your agreement, to reflect or anticipate changes in the job.</w:t>
      </w:r>
    </w:p>
    <w:p w:rsidR="00000000" w:rsidDel="00000000" w:rsidP="00000000" w:rsidRDefault="00000000" w:rsidRPr="00000000">
      <w:pPr>
        <w:spacing w:after="96" w:before="240"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Leadership and Management</w:t>
      </w:r>
    </w:p>
    <w:p w:rsidR="00000000" w:rsidDel="00000000" w:rsidP="00000000" w:rsidRDefault="00000000" w:rsidRPr="00000000">
      <w:pPr>
        <w:numPr>
          <w:ilvl w:val="0"/>
          <w:numId w:val="3"/>
        </w:numPr>
        <w:spacing w:after="96"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strategically lead and manage the SEND and Inclusion Unit as agreed with the Senior Leader with responsibility for SEND and Inclusion</w:t>
      </w:r>
    </w:p>
    <w:p w:rsidR="00000000" w:rsidDel="00000000" w:rsidP="00000000" w:rsidRDefault="00000000" w:rsidRPr="00000000">
      <w:pPr>
        <w:numPr>
          <w:ilvl w:val="0"/>
          <w:numId w:val="3"/>
        </w:numPr>
        <w:spacing w:after="96"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attend Governor and SLT meetings to update and advise on the progress of the SEND and Inclusion department </w:t>
      </w:r>
    </w:p>
    <w:p w:rsidR="00000000" w:rsidDel="00000000" w:rsidP="00000000" w:rsidRDefault="00000000" w:rsidRPr="00000000">
      <w:pPr>
        <w:numPr>
          <w:ilvl w:val="0"/>
          <w:numId w:val="3"/>
        </w:numPr>
        <w:spacing w:after="96"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attend governor’s hearings for disengaged students</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advise the Senior Leadership Team of national and local initiatives which may impact upon policy and practice</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communicate a clear vision and sense of core purpose for the provision for SEND students and those being supported by the Inclusion Unit through the SEND, Access and Inclusion policies, School Improvement Plan and SEND development plan</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deploy and line manage all direct reports within the departments ie. Inclusion Teacher and HLTAs, taking overall accountability for performance of other departmental staff</w:t>
      </w:r>
    </w:p>
    <w:p w:rsidR="00000000" w:rsidDel="00000000" w:rsidP="00000000" w:rsidRDefault="00000000" w:rsidRPr="00000000">
      <w:pPr>
        <w:numPr>
          <w:ilvl w:val="0"/>
          <w:numId w:val="3"/>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improve academic attainment, independence, behaviour, self-confidence and self-esteem of the students </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implement the Code of Practice so that all legal, statutory requirements are met for students with SEND and all associated paperwork is completed</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establish effective systems to identify and meet the needs of SEND students and those being supported by the Inclusion Unit</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regularly evaluate and review the systems and procedures in place to continually improve practice</w:t>
      </w:r>
    </w:p>
    <w:p w:rsidR="00000000" w:rsidDel="00000000" w:rsidP="00000000" w:rsidRDefault="00000000" w:rsidRPr="00000000">
      <w:pPr>
        <w:numPr>
          <w:ilvl w:val="0"/>
          <w:numId w:val="3"/>
        </w:numPr>
        <w:spacing w:after="96"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educate all members of staff to understand and fulfil their statutory responsibilities to students with SEND</w:t>
      </w:r>
    </w:p>
    <w:p w:rsidR="00000000" w:rsidDel="00000000" w:rsidP="00000000" w:rsidRDefault="00000000" w:rsidRPr="00000000">
      <w:pPr>
        <w:widowControl w:val="0"/>
        <w:numPr>
          <w:ilvl w:val="0"/>
          <w:numId w:val="3"/>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identify the training needs of staff across the school and organise training to enable dissemination of best practice to improve the teaching and learning for SEND and disengaged students</w:t>
      </w:r>
    </w:p>
    <w:p w:rsidR="00000000" w:rsidDel="00000000" w:rsidP="00000000" w:rsidRDefault="00000000" w:rsidRPr="00000000">
      <w:pPr>
        <w:numPr>
          <w:ilvl w:val="0"/>
          <w:numId w:val="3"/>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evaluate the impact of training and to make recommendations where there are further needs to SLT</w:t>
      </w:r>
      <w:r w:rsidDel="00000000" w:rsidR="00000000" w:rsidRPr="00000000">
        <w:rPr>
          <w:rtl w:val="0"/>
        </w:rPr>
      </w:r>
    </w:p>
    <w:p w:rsidR="00000000" w:rsidDel="00000000" w:rsidP="00000000" w:rsidRDefault="00000000" w:rsidRPr="00000000">
      <w:pPr>
        <w:numPr>
          <w:ilvl w:val="0"/>
          <w:numId w:val="2"/>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advise the Senior Leadership Team of priorities for resource expenditure and manage the budget efficiently, procuring value for money resources</w:t>
      </w:r>
    </w:p>
    <w:p w:rsidR="00000000" w:rsidDel="00000000" w:rsidP="00000000" w:rsidRDefault="00000000" w:rsidRPr="00000000">
      <w:pPr>
        <w:numPr>
          <w:ilvl w:val="0"/>
          <w:numId w:val="2"/>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collaborate with feeder schools and sixth form providers to ensure good transition is in place for students with SEND and those being supported by the Inclusion Unit</w:t>
      </w:r>
    </w:p>
    <w:p w:rsidR="00000000" w:rsidDel="00000000" w:rsidP="00000000" w:rsidRDefault="00000000" w:rsidRPr="00000000">
      <w:pPr>
        <w:widowControl w:val="0"/>
        <w:numPr>
          <w:ilvl w:val="0"/>
          <w:numId w:val="2"/>
        </w:numPr>
        <w:spacing w:after="0" w:afterAutospacing="1" w:before="200" w:line="240" w:lineRule="auto"/>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liaise with external agencies and parents when coordinating provision for students with SEND and those being supported by the Inclusion Unit</w:t>
      </w:r>
    </w:p>
    <w:p w:rsidR="00000000" w:rsidDel="00000000" w:rsidP="00000000" w:rsidRDefault="00000000" w:rsidRPr="00000000">
      <w:pPr>
        <w:spacing w:after="96" w:before="240" w:line="240" w:lineRule="auto"/>
        <w:ind w:left="0" w:firstLine="0"/>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Teaching for learning</w:t>
      </w:r>
    </w:p>
    <w:p w:rsidR="00000000" w:rsidDel="00000000" w:rsidP="00000000" w:rsidRDefault="00000000" w:rsidRPr="00000000">
      <w:pPr>
        <w:numPr>
          <w:ilvl w:val="0"/>
          <w:numId w:val="1"/>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devise, teach and evaluate the impact of academic courses, interventions and schemes of work delivered through the SEND and Inclusion Department</w:t>
      </w:r>
      <w:r w:rsidDel="00000000" w:rsidR="00000000" w:rsidRPr="00000000">
        <w:rPr>
          <w:rtl w:val="0"/>
        </w:rPr>
      </w:r>
    </w:p>
    <w:p w:rsidR="00000000" w:rsidDel="00000000" w:rsidP="00000000" w:rsidRDefault="00000000" w:rsidRPr="00000000">
      <w:pPr>
        <w:numPr>
          <w:ilvl w:val="0"/>
          <w:numId w:val="1"/>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teach classes and groups of SEND students where necessary as allocated (up to 0.4)</w:t>
      </w:r>
    </w:p>
    <w:p w:rsidR="00000000" w:rsidDel="00000000" w:rsidP="00000000" w:rsidRDefault="00000000" w:rsidRPr="00000000">
      <w:pPr>
        <w:numPr>
          <w:ilvl w:val="0"/>
          <w:numId w:val="1"/>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identify and deliver the most effective teaching for learning methods to meet the needs of students within the SEND Department so that interventions are time bound and personalised to their needs</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develop an alternative pathway curriculum for identified students</w:t>
      </w:r>
    </w:p>
    <w:p w:rsidR="00000000" w:rsidDel="00000000" w:rsidP="00000000" w:rsidRDefault="00000000" w:rsidRPr="00000000">
      <w:pPr>
        <w:numPr>
          <w:ilvl w:val="0"/>
          <w:numId w:val="1"/>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manage an inclusive curriculum </w:t>
      </w:r>
    </w:p>
    <w:p w:rsidR="00000000" w:rsidDel="00000000" w:rsidP="00000000" w:rsidRDefault="00000000" w:rsidRPr="00000000">
      <w:pPr>
        <w:spacing w:after="45" w:line="240" w:lineRule="auto"/>
        <w:contextualSpacing w:val="0"/>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pPr>
        <w:spacing w:after="45"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Recording and assessment</w:t>
      </w:r>
    </w:p>
    <w:p w:rsidR="00000000" w:rsidDel="00000000" w:rsidP="00000000" w:rsidRDefault="00000000" w:rsidRPr="00000000">
      <w:pPr>
        <w:numPr>
          <w:ilvl w:val="0"/>
          <w:numId w:val="4"/>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s</w:t>
      </w:r>
      <w:r w:rsidDel="00000000" w:rsidR="00000000" w:rsidRPr="00000000">
        <w:rPr>
          <w:rFonts w:ascii="Verdana" w:cs="Verdana" w:eastAsia="Verdana" w:hAnsi="Verdana"/>
          <w:sz w:val="20"/>
          <w:szCs w:val="20"/>
          <w:rtl w:val="0"/>
        </w:rPr>
        <w:t xml:space="preserve">et SMART targets for raising the achievement and attainment of students with SEND</w:t>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agree </w:t>
      </w:r>
      <w:r w:rsidDel="00000000" w:rsidR="00000000" w:rsidRPr="00000000">
        <w:rPr>
          <w:rFonts w:ascii="Verdana" w:cs="Verdana" w:eastAsia="Verdana" w:hAnsi="Verdana"/>
          <w:color w:val="1c2e32"/>
          <w:sz w:val="20"/>
          <w:szCs w:val="20"/>
          <w:rtl w:val="0"/>
        </w:rPr>
        <w:t xml:space="preserve">SMART targets</w:t>
      </w:r>
      <w:r w:rsidDel="00000000" w:rsidR="00000000" w:rsidRPr="00000000">
        <w:rPr>
          <w:rFonts w:ascii="Verdana" w:cs="Verdana" w:eastAsia="Verdana" w:hAnsi="Verdana"/>
          <w:color w:val="1c2e32"/>
          <w:sz w:val="20"/>
          <w:szCs w:val="20"/>
          <w:rtl w:val="0"/>
        </w:rPr>
        <w:t xml:space="preserve"> to raise the achievement of students supported by the</w:t>
      </w:r>
      <w:r w:rsidDel="00000000" w:rsidR="00000000" w:rsidRPr="00000000">
        <w:rPr>
          <w:rFonts w:ascii="Verdana" w:cs="Verdana" w:eastAsia="Verdana" w:hAnsi="Verdana"/>
          <w:color w:val="1c2e32"/>
          <w:sz w:val="20"/>
          <w:szCs w:val="20"/>
          <w:rtl w:val="0"/>
        </w:rPr>
        <w:t xml:space="preserve"> Inclusion Unit with the Inclusion Teacher</w:t>
      </w:r>
      <w:r w:rsidDel="00000000" w:rsidR="00000000" w:rsidRPr="00000000">
        <w:rPr>
          <w:rtl w:val="0"/>
        </w:rPr>
      </w:r>
    </w:p>
    <w:p w:rsidR="00000000" w:rsidDel="00000000" w:rsidP="00000000" w:rsidRDefault="00000000" w:rsidRPr="00000000">
      <w:pPr>
        <w:numPr>
          <w:ilvl w:val="0"/>
          <w:numId w:val="4"/>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analyse and interpret assessment data after each data drop and use it to inform planning to improve outcomes for SEND students and the quality of provision</w:t>
      </w:r>
    </w:p>
    <w:p w:rsidR="00000000" w:rsidDel="00000000" w:rsidP="00000000" w:rsidRDefault="00000000" w:rsidRPr="00000000">
      <w:pPr>
        <w:numPr>
          <w:ilvl w:val="0"/>
          <w:numId w:val="4"/>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set up systems for identifying, assessing and reviewing SEND students’ needs and the provision in place to support them and make them easily accessible to all relevant staff</w:t>
      </w:r>
    </w:p>
    <w:p w:rsidR="00000000" w:rsidDel="00000000" w:rsidP="00000000" w:rsidRDefault="00000000" w:rsidRPr="00000000">
      <w:pPr>
        <w:numPr>
          <w:ilvl w:val="0"/>
          <w:numId w:val="4"/>
        </w:numPr>
        <w:spacing w:after="45"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maintain accurate and complete records in line with school policies and statutory requirements </w:t>
      </w:r>
      <w:r w:rsidDel="00000000" w:rsidR="00000000" w:rsidRPr="00000000">
        <w:rPr>
          <w:rtl w:val="0"/>
        </w:rPr>
      </w:r>
    </w:p>
    <w:p w:rsidR="00000000" w:rsidDel="00000000" w:rsidP="00000000" w:rsidRDefault="00000000" w:rsidRPr="00000000">
      <w:pPr>
        <w:spacing w:after="45" w:line="240" w:lineRule="auto"/>
        <w:ind w:left="360" w:firstLine="0"/>
        <w:contextualSpacing w:val="0"/>
        <w:rPr>
          <w:rFonts w:ascii="Verdana" w:cs="Verdana" w:eastAsia="Verdana" w:hAnsi="Verdana"/>
          <w:b w:val="1"/>
          <w:sz w:val="20"/>
          <w:szCs w:val="20"/>
        </w:rPr>
      </w:pPr>
      <w:bookmarkStart w:colFirst="0" w:colLast="0" w:name="_l3m0aebfj86u" w:id="0"/>
      <w:bookmarkEnd w:id="0"/>
      <w:r w:rsidDel="00000000" w:rsidR="00000000" w:rsidRPr="00000000">
        <w:rPr>
          <w:rtl w:val="0"/>
        </w:rPr>
      </w:r>
    </w:p>
    <w:p w:rsidR="00000000" w:rsidDel="00000000" w:rsidP="00000000" w:rsidRDefault="00000000" w:rsidRPr="00000000">
      <w:pPr>
        <w:contextualSpacing w:val="0"/>
        <w:rPr>
          <w:rFonts w:ascii="Verdana" w:cs="Verdana" w:eastAsia="Verdana" w:hAnsi="Verdana"/>
          <w:b w:val="1"/>
          <w:color w:val="1c2e32"/>
          <w:sz w:val="20"/>
          <w:szCs w:val="20"/>
        </w:rPr>
      </w:pPr>
      <w:r w:rsidDel="00000000" w:rsidR="00000000" w:rsidRPr="00000000">
        <w:rPr>
          <w:rFonts w:ascii="Verdana" w:cs="Verdana" w:eastAsia="Verdana" w:hAnsi="Verdana"/>
          <w:b w:val="1"/>
          <w:color w:val="1c2e32"/>
          <w:sz w:val="20"/>
          <w:szCs w:val="20"/>
          <w:rtl w:val="0"/>
        </w:rPr>
        <w:t xml:space="preserve">Public Relations</w:t>
      </w:r>
    </w:p>
    <w:p w:rsidR="00000000" w:rsidDel="00000000" w:rsidP="00000000" w:rsidRDefault="00000000" w:rsidRPr="00000000">
      <w:pPr>
        <w:contextualSpacing w:val="0"/>
        <w:rPr>
          <w:rFonts w:ascii="Verdana" w:cs="Verdana" w:eastAsia="Verdana" w:hAnsi="Verdana"/>
          <w:b w:val="1"/>
          <w:color w:val="1c2e32"/>
          <w:sz w:val="20"/>
          <w:szCs w:val="20"/>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Verdana" w:cs="Verdana" w:eastAsia="Verdana" w:hAnsi="Verdana"/>
          <w:color w:val="1c2e32"/>
          <w:sz w:val="20"/>
          <w:szCs w:val="20"/>
        </w:rPr>
      </w:pPr>
      <w:r w:rsidDel="00000000" w:rsidR="00000000" w:rsidRPr="00000000">
        <w:rPr>
          <w:rFonts w:ascii="Verdana" w:cs="Verdana" w:eastAsia="Verdana" w:hAnsi="Verdana"/>
          <w:color w:val="1c2e32"/>
          <w:sz w:val="20"/>
          <w:szCs w:val="20"/>
          <w:rtl w:val="0"/>
        </w:rPr>
        <w:t xml:space="preserve">To recognise the importance of student support services in the promotion of the school’s image and to be available for major school functions/events</w:t>
      </w:r>
    </w:p>
    <w:p w:rsidR="00000000" w:rsidDel="00000000" w:rsidP="00000000" w:rsidRDefault="00000000" w:rsidRPr="00000000">
      <w:pPr>
        <w:numPr>
          <w:ilvl w:val="0"/>
          <w:numId w:val="5"/>
        </w:numPr>
        <w:ind w:left="720" w:hanging="360"/>
        <w:contextualSpacing w:val="1"/>
        <w:rPr>
          <w:rFonts w:ascii="Verdana" w:cs="Verdana" w:eastAsia="Verdana" w:hAnsi="Verdana"/>
          <w:color w:val="1c2e32"/>
          <w:sz w:val="20"/>
          <w:szCs w:val="20"/>
        </w:rPr>
      </w:pPr>
      <w:r w:rsidDel="00000000" w:rsidR="00000000" w:rsidRPr="00000000">
        <w:rPr>
          <w:rFonts w:ascii="Verdana" w:cs="Verdana" w:eastAsia="Verdana" w:hAnsi="Verdana"/>
          <w:color w:val="1c2e32"/>
          <w:sz w:val="20"/>
          <w:szCs w:val="20"/>
          <w:rtl w:val="0"/>
        </w:rPr>
        <w:t xml:space="preserve">To internally market the inclusion and SEND Department, promoting the achievements of students and encouraging involvement of staff</w:t>
      </w:r>
    </w:p>
    <w:p w:rsidR="00000000" w:rsidDel="00000000" w:rsidP="00000000" w:rsidRDefault="00000000" w:rsidRPr="00000000">
      <w:pPr>
        <w:numPr>
          <w:ilvl w:val="0"/>
          <w:numId w:val="5"/>
        </w:numPr>
        <w:ind w:left="720" w:hanging="360"/>
        <w:contextualSpacing w:val="1"/>
        <w:rPr>
          <w:rFonts w:ascii="Verdana" w:cs="Verdana" w:eastAsia="Verdana" w:hAnsi="Verdana"/>
          <w:color w:val="1c2e32"/>
          <w:sz w:val="20"/>
          <w:szCs w:val="20"/>
        </w:rPr>
      </w:pPr>
      <w:r w:rsidDel="00000000" w:rsidR="00000000" w:rsidRPr="00000000">
        <w:rPr>
          <w:rFonts w:ascii="Verdana" w:cs="Verdana" w:eastAsia="Verdana" w:hAnsi="Verdana"/>
          <w:color w:val="1c2e32"/>
          <w:sz w:val="20"/>
          <w:szCs w:val="20"/>
          <w:rtl w:val="0"/>
        </w:rPr>
        <w:t xml:space="preserve">To respond promptly to parents’ enquiries and concerns and to keep parents informed of students’ progress in line with the School’s Home/School Agreement</w:t>
      </w:r>
    </w:p>
    <w:p w:rsidR="00000000" w:rsidDel="00000000" w:rsidP="00000000" w:rsidRDefault="00000000" w:rsidRPr="00000000">
      <w:pPr>
        <w:numPr>
          <w:ilvl w:val="0"/>
          <w:numId w:val="5"/>
        </w:numPr>
        <w:ind w:left="720" w:hanging="360"/>
        <w:contextualSpacing w:val="1"/>
        <w:rPr>
          <w:rFonts w:ascii="Verdana" w:cs="Verdana" w:eastAsia="Verdana" w:hAnsi="Verdana"/>
          <w:color w:val="1c2e32"/>
          <w:sz w:val="20"/>
          <w:szCs w:val="20"/>
        </w:rPr>
      </w:pPr>
      <w:r w:rsidDel="00000000" w:rsidR="00000000" w:rsidRPr="00000000">
        <w:rPr>
          <w:rFonts w:ascii="Verdana" w:cs="Verdana" w:eastAsia="Verdana" w:hAnsi="Verdana"/>
          <w:color w:val="1c2e32"/>
          <w:sz w:val="20"/>
          <w:szCs w:val="20"/>
          <w:rtl w:val="0"/>
        </w:rPr>
        <w:t xml:space="preserve">To conduct interviews or home visits as appropriate </w:t>
      </w:r>
    </w:p>
    <w:p w:rsidR="00000000" w:rsidDel="00000000" w:rsidP="00000000" w:rsidRDefault="00000000" w:rsidRPr="00000000">
      <w:pPr>
        <w:contextualSpacing w:val="0"/>
        <w:rPr>
          <w:rFonts w:ascii="Verdana" w:cs="Verdana" w:eastAsia="Verdana" w:hAnsi="Verdana"/>
          <w:color w:val="1c2e32"/>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Dragonfly Education Trust is committed to safeguarding and promoting the welfare of children, young people and vulnerable adults and expects all staff and volunteers to share this commitment.</w:t>
      </w:r>
    </w:p>
    <w:p w:rsidR="00000000" w:rsidDel="00000000" w:rsidP="00000000" w:rsidRDefault="00000000" w:rsidRPr="00000000">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Personal Specification</w:t>
      </w:r>
    </w:p>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expected that the successful candidate would possess the following attributes:</w:t>
      </w:r>
    </w:p>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tl w:val="0"/>
        </w:rPr>
      </w:r>
    </w:p>
    <w:tbl>
      <w:tblPr>
        <w:tblStyle w:val="Table2"/>
        <w:tblW w:w="90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9"/>
        <w:tblGridChange w:id="0">
          <w:tblGrid>
            <w:gridCol w:w="9039"/>
          </w:tblGrid>
        </w:tblGridChange>
      </w:tblGrid>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Essential</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good relevant honours degree</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Qualified Teacher Status</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Accredited SENDCo qualification</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Knowledge and understanding of SEN and other complex needs experienced by students who find it challenging to access the normal school curriculum</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Up to date knowledge of curriculum, assessment and changes to the Code of Practice</w:t>
            </w:r>
          </w:p>
        </w:tc>
      </w:tr>
      <w:tr>
        <w:trPr>
          <w:trHeight w:val="480" w:hRule="atLeast"/>
        </w:trP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Proven successful experience of leadership and management in the area of SEN and/or Inclusion</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Knowledge and understanding of inclusion in a whole school setting</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Ability to use data and strategic information to set individual targets and raise student attainment</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Positive and creative attitude towards change; innovative and self-reflective </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Understanding of SEN funding and experience of budget handling</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Experience in setting up systems for assessing, monitoring and recording individual pupil support plans and effective provision-mapping processes</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Experience of leading training of other teachers and support staff </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Understanding of the role of external services that support the provision for SEN and Inclusion students within schools </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Inspirational teaching skills and a proven record of securing excellent student progress</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Up to date knowledge of best practice in behaviour strategies</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Up to date knowledge of teaching and learning strategies to suit SEND and disengaged students</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Innovative use of ICT to enhance teaching and learning </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Integrity and trust</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Ability to use initiative and strategic thinking to deliver results and overcome issues</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Tolerates pressure and manages multiple projects to deadline</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Pursues success with drive, determination and enthusiasm</w:t>
            </w:r>
          </w:p>
        </w:tc>
      </w:tr>
      <w:tr>
        <w:tc>
          <w:tcPr/>
          <w:p w:rsidR="00000000" w:rsidDel="00000000" w:rsidP="00000000" w:rsidRDefault="00000000" w:rsidRPr="00000000">
            <w:pPr>
              <w:widowControl w:val="0"/>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Ability to communicate a clear vision and sense of core purpose </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Excellent interpersonal skills to inspire, motivate and direct others</w:t>
            </w:r>
          </w:p>
        </w:tc>
      </w:tr>
      <w:tr>
        <w:tc>
          <w:tcPr/>
          <w:p w:rsidR="00000000" w:rsidDel="00000000" w:rsidP="00000000" w:rsidRDefault="00000000" w:rsidRPr="00000000">
            <w:pPr>
              <w:spacing w:after="0" w:before="0"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Performance manages staff, engaging in difficult conversations with tact and diplomacy when required </w:t>
            </w:r>
          </w:p>
        </w:tc>
      </w:tr>
      <w:tr>
        <w:trPr>
          <w:trHeight w:val="600" w:hRule="atLeast"/>
        </w:trPr>
        <w:tc>
          <w:tcPr/>
          <w:p w:rsidR="00000000" w:rsidDel="00000000" w:rsidP="00000000" w:rsidRDefault="00000000" w:rsidRPr="00000000">
            <w:pPr>
              <w:spacing w:after="0" w:before="0"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Organised to plan for changing needs and circumstances and to adapt quickly and positively</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Report clearly and thoroughly on work completed</w:t>
            </w:r>
          </w:p>
        </w:tc>
      </w:tr>
      <w:tr>
        <w:tc>
          <w:tcPr/>
          <w:p w:rsidR="00000000" w:rsidDel="00000000" w:rsidP="00000000" w:rsidRDefault="00000000" w:rsidRPr="00000000">
            <w:pPr>
              <w:spacing w:line="240" w:lineRule="auto"/>
              <w:contextualSpacing w:val="0"/>
              <w:rPr>
                <w:rFonts w:ascii="Verdana" w:cs="Verdana" w:eastAsia="Verdana" w:hAnsi="Verdana"/>
                <w:strike w:val="1"/>
                <w:sz w:val="20"/>
                <w:szCs w:val="20"/>
              </w:rPr>
            </w:pPr>
            <w:r w:rsidDel="00000000" w:rsidR="00000000" w:rsidRPr="00000000">
              <w:rPr>
                <w:rFonts w:ascii="Verdana" w:cs="Verdana" w:eastAsia="Verdana" w:hAnsi="Verdana"/>
                <w:sz w:val="20"/>
                <w:szCs w:val="20"/>
                <w:rtl w:val="0"/>
              </w:rPr>
              <w:t xml:space="preserve">Excellent communicator and presenter; responding articulately to unrehearsed comments and questions</w:t>
            </w:r>
            <w:r w:rsidDel="00000000" w:rsidR="00000000" w:rsidRPr="00000000">
              <w:rPr>
                <w:rtl w:val="0"/>
              </w:rPr>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Role model behaviour commensurate to the post and which promote the School’s core values</w:t>
            </w:r>
          </w:p>
        </w:tc>
      </w:tr>
      <w:tr>
        <w:tc>
          <w:tcPr>
            <w:tcBorders>
              <w:bottom w:color="000000" w:space="0" w:sz="4" w:val="single"/>
            </w:tcBorders>
          </w:tcPr>
          <w:p w:rsidR="00000000" w:rsidDel="00000000" w:rsidP="00000000" w:rsidRDefault="00000000" w:rsidRPr="00000000">
            <w:pPr>
              <w:spacing w:line="240" w:lineRule="auto"/>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Desirable</w:t>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Evidence of continuous INSET with particular reference to Special Educational Needs</w:t>
            </w:r>
            <w:r w:rsidDel="00000000" w:rsidR="00000000" w:rsidRPr="00000000">
              <w:rPr>
                <w:rtl w:val="0"/>
              </w:rPr>
            </w:r>
          </w:p>
        </w:tc>
      </w:tr>
      <w:t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Successful experience of leading change</w:t>
            </w:r>
          </w:p>
        </w:tc>
      </w:tr>
      <w:tr>
        <w:trPr>
          <w:trHeight w:val="240" w:hRule="atLeast"/>
        </w:trP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Level 7 qualified assessor for exam access</w:t>
            </w:r>
          </w:p>
        </w:tc>
      </w:tr>
      <w:tr>
        <w:trPr>
          <w:trHeight w:val="240" w:hRule="atLeast"/>
        </w:trPr>
        <w:tc>
          <w:tcPr/>
          <w:p w:rsidR="00000000" w:rsidDel="00000000" w:rsidP="00000000" w:rsidRDefault="00000000" w:rsidRPr="00000000">
            <w:pPr>
              <w:spacing w:line="240"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Experience of working with external providers to enhance curriculum delivery and pastoral care for students</w:t>
            </w:r>
          </w:p>
        </w:tc>
      </w:tr>
    </w:tbl>
    <w:p w:rsidR="00000000" w:rsidDel="00000000" w:rsidP="00000000" w:rsidRDefault="00000000" w:rsidRPr="00000000">
      <w:pPr>
        <w:contextualSpacing w:val="0"/>
        <w:rPr>
          <w:rFonts w:ascii="Verdana" w:cs="Verdana" w:eastAsia="Verdana" w:hAnsi="Verdana"/>
          <w:sz w:val="20"/>
          <w:szCs w:val="2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