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b/>
        </w:rPr>
      </w:pPr>
      <w:r>
        <w:rPr>
          <w:noProof/>
          <w:lang w:eastAsia="en-GB"/>
        </w:rPr>
        <w:drawing>
          <wp:anchor distT="0" distB="0" distL="114300" distR="114300" simplePos="0" relativeHeight="251658240" behindDoc="0" locked="0" layoutInCell="1" allowOverlap="1">
            <wp:simplePos x="0" y="0"/>
            <wp:positionH relativeFrom="column">
              <wp:posOffset>1945640</wp:posOffset>
            </wp:positionH>
            <wp:positionV relativeFrom="paragraph">
              <wp:posOffset>-2540</wp:posOffset>
            </wp:positionV>
            <wp:extent cx="2752725" cy="2597785"/>
            <wp:effectExtent l="0" t="0" r="0" b="0"/>
            <wp:wrapNone/>
            <wp:docPr id="6" name="Picture 1" descr="SNC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CHS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2597785"/>
                    </a:xfrm>
                    <a:prstGeom prst="rect">
                      <a:avLst/>
                    </a:prstGeom>
                    <a:noFill/>
                  </pic:spPr>
                </pic:pic>
              </a:graphicData>
            </a:graphic>
            <wp14:sizeRelH relativeFrom="page">
              <wp14:pctWidth>0</wp14:pctWidth>
            </wp14:sizeRelH>
            <wp14:sizeRelV relativeFrom="page">
              <wp14:pctHeight>0</wp14:pctHeight>
            </wp14:sizeRelV>
          </wp:anchor>
        </w:drawing>
      </w:r>
    </w:p>
    <w:p/>
    <w:p/>
    <w:p/>
    <w:p>
      <w:pPr>
        <w:jc w:val="center"/>
        <w:rPr>
          <w:rFonts w:ascii="Calibri" w:hAnsi="Calibri" w:cs="Calibri"/>
          <w:sz w:val="60"/>
          <w:szCs w:val="60"/>
        </w:rPr>
      </w:pPr>
    </w:p>
    <w:p>
      <w:pPr>
        <w:jc w:val="center"/>
        <w:rPr>
          <w:rFonts w:ascii="Calibri" w:hAnsi="Calibri" w:cs="Calibri"/>
          <w:sz w:val="60"/>
          <w:szCs w:val="60"/>
        </w:rPr>
      </w:pPr>
    </w:p>
    <w:p>
      <w:pPr>
        <w:jc w:val="center"/>
        <w:rPr>
          <w:rFonts w:ascii="Calibri" w:hAnsi="Calibri" w:cs="Calibri"/>
          <w:sz w:val="60"/>
          <w:szCs w:val="60"/>
        </w:rPr>
      </w:pPr>
    </w:p>
    <w:p>
      <w:pPr>
        <w:jc w:val="center"/>
        <w:rPr>
          <w:rFonts w:ascii="Calibri" w:hAnsi="Calibri" w:cs="Calibri"/>
          <w:sz w:val="60"/>
          <w:szCs w:val="60"/>
        </w:rPr>
      </w:pPr>
    </w:p>
    <w:p>
      <w:pPr>
        <w:jc w:val="center"/>
        <w:rPr>
          <w:rFonts w:ascii="Calibri" w:hAnsi="Calibri" w:cs="Calibri"/>
          <w:sz w:val="60"/>
          <w:szCs w:val="60"/>
        </w:rPr>
      </w:pPr>
    </w:p>
    <w:p>
      <w:pPr>
        <w:jc w:val="center"/>
        <w:rPr>
          <w:rFonts w:ascii="Calibri" w:hAnsi="Calibri" w:cs="Calibri"/>
          <w:b/>
          <w:sz w:val="60"/>
          <w:szCs w:val="60"/>
        </w:rPr>
      </w:pPr>
      <w:r>
        <w:rPr>
          <w:rFonts w:ascii="Calibri" w:hAnsi="Calibri" w:cs="Calibri"/>
          <w:sz w:val="60"/>
          <w:szCs w:val="60"/>
        </w:rPr>
        <w:t xml:space="preserve">Job Description   </w:t>
      </w:r>
    </w:p>
    <w:p>
      <w:pPr>
        <w:jc w:val="center"/>
        <w:rPr>
          <w:rFonts w:ascii="Calibri" w:hAnsi="Calibri" w:cs="Calibri"/>
          <w:b/>
          <w:sz w:val="60"/>
          <w:szCs w:val="60"/>
        </w:rPr>
      </w:pPr>
      <w:r>
        <w:rPr>
          <w:rFonts w:ascii="Calibri" w:hAnsi="Calibri" w:cs="Calibri"/>
          <w:b/>
          <w:sz w:val="60"/>
          <w:szCs w:val="60"/>
        </w:rPr>
        <w:t>Subject Leader - MFL</w:t>
      </w:r>
    </w:p>
    <w:p>
      <w:pPr>
        <w:rPr>
          <w:rFonts w:ascii="Calibri" w:hAnsi="Calibri" w:cs="Calibri"/>
          <w:b/>
          <w:sz w:val="60"/>
          <w:szCs w:val="60"/>
        </w:rPr>
      </w:pPr>
    </w:p>
    <w:p>
      <w:pPr>
        <w:jc w:val="center"/>
        <w:rPr>
          <w:rFonts w:ascii="Calibri" w:hAnsi="Calibri" w:cs="Calibri"/>
          <w:sz w:val="28"/>
        </w:rPr>
      </w:pPr>
      <w:r>
        <w:rPr>
          <w:rFonts w:ascii="Calibri" w:hAnsi="Calibri" w:cs="Calibri"/>
          <w:sz w:val="28"/>
        </w:rPr>
        <w:t>All aspects of a teacher's professional responsibility at St Nicholas Catholic High School take place within the context of the School Mission Statement, and are subject to the current conditions of employment contained in the School Teacher's Pay and Conditions Document, the 1995 School Standards and Framework Act, the required standards for Qualified Teacher Status and other legislation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u w:val="single"/>
        </w:rPr>
      </w:pPr>
      <w:r>
        <w:rPr>
          <w:rFonts w:ascii="Calibri" w:hAnsi="Calibri" w:cs="Calibri"/>
          <w:b/>
          <w:sz w:val="32"/>
          <w:u w:val="single"/>
        </w:rPr>
        <w:t>Our Mission Statement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pPr>
        <w:jc w:val="center"/>
        <w:rPr>
          <w:b/>
          <w:bCs/>
        </w:rPr>
      </w:pPr>
    </w:p>
    <w:p>
      <w:pPr>
        <w:jc w:val="center"/>
        <w:rPr>
          <w:rFonts w:ascii="Calibri" w:hAnsi="Calibri" w:cs="Calibri"/>
          <w:b/>
          <w:bCs/>
          <w:i/>
          <w:sz w:val="32"/>
          <w:szCs w:val="32"/>
        </w:rPr>
      </w:pPr>
      <w:bookmarkStart w:id="0" w:name="GoBack"/>
      <w:bookmarkEnd w:id="0"/>
      <w:r>
        <w:rPr>
          <w:rFonts w:ascii="Calibri" w:hAnsi="Calibri" w:cs="Calibri"/>
          <w:b/>
          <w:bCs/>
          <w:i/>
          <w:sz w:val="32"/>
          <w:szCs w:val="32"/>
        </w:rPr>
        <w:t xml:space="preserve">We aspire to embrace the Gospel and its values, </w:t>
      </w:r>
    </w:p>
    <w:p>
      <w:pPr>
        <w:jc w:val="center"/>
        <w:rPr>
          <w:rFonts w:ascii="Calibri" w:hAnsi="Calibri" w:cs="Calibri"/>
          <w:b/>
          <w:bCs/>
          <w:i/>
          <w:sz w:val="32"/>
          <w:szCs w:val="32"/>
        </w:rPr>
      </w:pPr>
      <w:proofErr w:type="gramStart"/>
      <w:r>
        <w:rPr>
          <w:rFonts w:ascii="Calibri" w:hAnsi="Calibri" w:cs="Calibri"/>
          <w:b/>
          <w:bCs/>
          <w:i/>
          <w:sz w:val="32"/>
          <w:szCs w:val="32"/>
        </w:rPr>
        <w:t>Celebrating uniqueness and diversity.</w:t>
      </w:r>
      <w:proofErr w:type="gramEnd"/>
    </w:p>
    <w:p>
      <w:pPr>
        <w:jc w:val="center"/>
        <w:rPr>
          <w:rFonts w:ascii="Calibri" w:hAnsi="Calibri" w:cs="Calibri"/>
          <w:b/>
          <w:bCs/>
          <w:i/>
          <w:sz w:val="32"/>
          <w:szCs w:val="32"/>
        </w:rPr>
      </w:pPr>
      <w:r>
        <w:rPr>
          <w:rFonts w:ascii="Calibri" w:hAnsi="Calibri" w:cs="Calibri"/>
          <w:b/>
          <w:bCs/>
          <w:i/>
          <w:sz w:val="32"/>
          <w:szCs w:val="32"/>
        </w:rPr>
        <w:t xml:space="preserve">Our learning, within an enterprise culture, is based upon trust and respect </w:t>
      </w:r>
    </w:p>
    <w:p>
      <w:pPr>
        <w:jc w:val="center"/>
        <w:rPr>
          <w:rFonts w:ascii="Calibri" w:hAnsi="Calibri" w:cs="Calibri"/>
          <w:b/>
          <w:bCs/>
          <w:i/>
          <w:sz w:val="32"/>
          <w:szCs w:val="32"/>
        </w:rPr>
      </w:pPr>
      <w:r>
        <w:rPr>
          <w:rFonts w:ascii="Calibri" w:hAnsi="Calibri" w:cs="Calibri"/>
          <w:b/>
          <w:bCs/>
          <w:i/>
          <w:sz w:val="32"/>
          <w:szCs w:val="32"/>
        </w:rPr>
        <w:t xml:space="preserve">Which define our relationship within the world </w:t>
      </w:r>
      <w:proofErr w:type="gramStart"/>
      <w:r>
        <w:rPr>
          <w:rFonts w:ascii="Calibri" w:hAnsi="Calibri" w:cs="Calibri"/>
          <w:b/>
          <w:bCs/>
          <w:i/>
          <w:sz w:val="32"/>
          <w:szCs w:val="32"/>
        </w:rPr>
        <w:t>family.</w:t>
      </w:r>
      <w:proofErr w:type="gramEnd"/>
    </w:p>
    <w:p>
      <w:pPr>
        <w:jc w:val="center"/>
        <w:rPr>
          <w:rFonts w:ascii="Calibri" w:hAnsi="Calibri" w:cs="Calibri"/>
          <w:b/>
          <w:bCs/>
          <w:i/>
          <w:sz w:val="32"/>
          <w:szCs w:val="32"/>
        </w:rPr>
      </w:pPr>
    </w:p>
    <w:p>
      <w:pPr>
        <w:jc w:val="center"/>
        <w:rPr>
          <w:rFonts w:ascii="Calibri" w:hAnsi="Calibri" w:cs="Calibri"/>
          <w:b/>
          <w:bCs/>
          <w:i/>
          <w:sz w:val="32"/>
          <w:szCs w:val="32"/>
        </w:rPr>
      </w:pPr>
      <w:r>
        <w:rPr>
          <w:rFonts w:ascii="Calibri" w:hAnsi="Calibri" w:cs="Calibri"/>
          <w:b/>
          <w:bCs/>
          <w:i/>
          <w:sz w:val="32"/>
          <w:szCs w:val="32"/>
        </w:rPr>
        <w:t>Everyone Matters.</w:t>
      </w:r>
    </w:p>
    <w:p/>
    <w:p/>
    <w:p/>
    <w:p>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163830</wp:posOffset>
                </wp:positionV>
                <wp:extent cx="6781800" cy="571500"/>
                <wp:effectExtent l="0" t="0" r="1905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571500"/>
                        </a:xfrm>
                        <a:prstGeom prst="rect">
                          <a:avLst/>
                        </a:prstGeom>
                        <a:solidFill>
                          <a:srgbClr val="FFFFFF"/>
                        </a:solidFill>
                        <a:ln w="9525">
                          <a:solidFill>
                            <a:srgbClr val="000000"/>
                          </a:solidFill>
                          <a:miter lim="800000"/>
                          <a:headEnd/>
                          <a:tailEnd/>
                        </a:ln>
                      </wps:spPr>
                      <wps:txbx>
                        <w:txbxContent>
                          <w:p>
                            <w:pPr>
                              <w:jc w:val="both"/>
                              <w:rPr>
                                <w:i/>
                                <w:sz w:val="18"/>
                                <w:szCs w:val="18"/>
                              </w:rPr>
                            </w:pPr>
                            <w:r>
                              <w:rPr>
                                <w:i/>
                                <w:sz w:val="18"/>
                                <w:szCs w:val="18"/>
                              </w:rPr>
                              <w:t>Please note:  this job description must be read in conjunction with the current School Teachers’ Pay and Conditions Document, particularly Part XII – ‘Conditions of Employment of Teachers other than Head Teachers’, which itemises the general conditions of employment governing this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6pt;margin-top:12.9pt;width:534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">
                <v:textbox>
                  <w:txbxContent>
                    <w:p w:rsidR="00643FA5" w:rsidRPr="00776D54" w:rsidRDefault="00643FA5" w:rsidP="00643FA5">
                      <w:pPr>
                        <w:jc w:val="both"/>
                        <w:rPr>
                          <w:i/>
                          <w:sz w:val="18"/>
                          <w:szCs w:val="18"/>
                        </w:rPr>
                      </w:pPr>
                      <w:r w:rsidRPr="00776D54">
                        <w:rPr>
                          <w:i/>
                          <w:sz w:val="18"/>
                          <w:szCs w:val="18"/>
                        </w:rPr>
                        <w:t>Please note:  this job description must be read in conjunction with the current School Teachers’ Pay and Conditions Document, particularly Part XII – ‘Conditions of Employment of Teachers other than Head Teachers’, which itemises the general conditions of employment governing this post.</w:t>
                      </w:r>
                    </w:p>
                  </w:txbxContent>
                </v:textbox>
              </v:shape>
            </w:pict>
          </mc:Fallback>
        </mc:AlternateContent>
      </w:r>
    </w:p>
    <w:p/>
    <w:p/>
    <w:p/>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8294"/>
      </w:tblGrid>
      <w:tr>
        <w:tc>
          <w:tcPr>
            <w:tcW w:w="2388" w:type="dxa"/>
            <w:shd w:val="clear" w:color="auto" w:fill="E6E6E6"/>
          </w:tcPr>
          <w:p>
            <w:pPr>
              <w:rPr>
                <w:rFonts w:ascii="Calibri" w:hAnsi="Calibri"/>
                <w:b/>
                <w:sz w:val="22"/>
                <w:szCs w:val="22"/>
              </w:rPr>
            </w:pPr>
            <w:r>
              <w:rPr>
                <w:rFonts w:ascii="Calibri" w:hAnsi="Calibri"/>
                <w:b/>
                <w:sz w:val="22"/>
                <w:szCs w:val="22"/>
              </w:rPr>
              <w:t>Role</w:t>
            </w:r>
          </w:p>
        </w:tc>
        <w:tc>
          <w:tcPr>
            <w:tcW w:w="8294" w:type="dxa"/>
            <w:shd w:val="clear" w:color="auto" w:fill="auto"/>
          </w:tcPr>
          <w:p>
            <w:pPr>
              <w:rPr>
                <w:rFonts w:ascii="Calibri" w:hAnsi="Calibri" w:cs="Arial"/>
                <w:b/>
              </w:rPr>
            </w:pPr>
            <w:r>
              <w:rPr>
                <w:rFonts w:ascii="Calibri" w:hAnsi="Calibri" w:cs="Arial"/>
                <w:b/>
              </w:rPr>
              <w:t>Subject Leader - MFL</w:t>
            </w:r>
          </w:p>
          <w:p>
            <w:pPr>
              <w:rPr>
                <w:rFonts w:ascii="Calibri" w:hAnsi="Calibri" w:cs="Arial"/>
                <w:b/>
              </w:rPr>
            </w:pPr>
          </w:p>
        </w:tc>
      </w:tr>
      <w:tr>
        <w:tc>
          <w:tcPr>
            <w:tcW w:w="2388" w:type="dxa"/>
            <w:shd w:val="clear" w:color="auto" w:fill="E6E6E6"/>
          </w:tcPr>
          <w:p>
            <w:pPr>
              <w:rPr>
                <w:rFonts w:ascii="Calibri" w:hAnsi="Calibri"/>
                <w:b/>
                <w:sz w:val="22"/>
                <w:szCs w:val="22"/>
              </w:rPr>
            </w:pPr>
            <w:r>
              <w:rPr>
                <w:rFonts w:ascii="Calibri" w:hAnsi="Calibri"/>
                <w:b/>
                <w:sz w:val="22"/>
                <w:szCs w:val="22"/>
              </w:rPr>
              <w:t>Purpose</w:t>
            </w:r>
          </w:p>
        </w:tc>
        <w:tc>
          <w:tcPr>
            <w:tcW w:w="8294" w:type="dxa"/>
            <w:shd w:val="clear" w:color="auto" w:fill="auto"/>
          </w:tcPr>
          <w:p>
            <w:pPr>
              <w:rPr>
                <w:rFonts w:ascii="Calibri" w:hAnsi="Calibri" w:cs="Arial"/>
                <w:b/>
                <w:sz w:val="22"/>
                <w:szCs w:val="22"/>
              </w:rPr>
            </w:pPr>
            <w:r>
              <w:rPr>
                <w:rFonts w:ascii="Calibri" w:hAnsi="Calibri" w:cs="Arial"/>
                <w:b/>
                <w:color w:val="000000"/>
                <w:spacing w:val="-2"/>
                <w:sz w:val="22"/>
                <w:szCs w:val="22"/>
              </w:rPr>
              <w:t>To ensure that an appropriately broad, balanced, relevant and differentiated curriculum for MFL supports excellent</w:t>
            </w:r>
            <w:r>
              <w:rPr>
                <w:rFonts w:ascii="Calibri" w:hAnsi="Calibri" w:cs="Arial"/>
                <w:b/>
                <w:sz w:val="22"/>
                <w:szCs w:val="22"/>
              </w:rPr>
              <w:t xml:space="preserve"> </w:t>
            </w:r>
            <w:r>
              <w:rPr>
                <w:rFonts w:ascii="Calibri" w:hAnsi="Calibri" w:cs="Arial"/>
                <w:b/>
                <w:color w:val="000000"/>
                <w:spacing w:val="-2"/>
                <w:sz w:val="22"/>
                <w:szCs w:val="22"/>
              </w:rPr>
              <w:t>learning experiences that in turn provides students with the opportunity to achieve their individual potential</w:t>
            </w:r>
          </w:p>
          <w:p>
            <w:pPr>
              <w:rPr>
                <w:rFonts w:ascii="Calibri" w:hAnsi="Calibri" w:cs="Arial"/>
                <w:b/>
                <w:sz w:val="22"/>
                <w:szCs w:val="22"/>
              </w:rPr>
            </w:pPr>
          </w:p>
          <w:p>
            <w:pPr>
              <w:rPr>
                <w:rFonts w:ascii="Calibri" w:hAnsi="Calibri" w:cs="Arial"/>
                <w:b/>
                <w:color w:val="000000"/>
                <w:spacing w:val="-2"/>
                <w:sz w:val="22"/>
                <w:szCs w:val="22"/>
              </w:rPr>
            </w:pPr>
            <w:r>
              <w:rPr>
                <w:rFonts w:ascii="Calibri" w:hAnsi="Calibri" w:cs="Arial"/>
                <w:b/>
                <w:sz w:val="22"/>
                <w:szCs w:val="22"/>
              </w:rPr>
              <w:t>To carry out the duties of a School Teacher as set out in the current Schoolteachers’ Pay and Conditions Document</w:t>
            </w:r>
          </w:p>
          <w:p>
            <w:pPr>
              <w:rPr>
                <w:rFonts w:ascii="Calibri" w:hAnsi="Calibri" w:cs="Arial"/>
                <w:b/>
                <w:sz w:val="22"/>
                <w:szCs w:val="22"/>
              </w:rPr>
            </w:pPr>
          </w:p>
          <w:p>
            <w:pPr>
              <w:rPr>
                <w:rFonts w:ascii="Calibri" w:hAnsi="Calibri" w:cs="Arial"/>
                <w:b/>
                <w:sz w:val="22"/>
                <w:szCs w:val="22"/>
              </w:rPr>
            </w:pPr>
            <w:r>
              <w:rPr>
                <w:rFonts w:ascii="Calibri" w:hAnsi="Calibri" w:cs="Arial"/>
                <w:b/>
                <w:sz w:val="22"/>
                <w:szCs w:val="22"/>
              </w:rPr>
              <w:t xml:space="preserve">Any additional duties that the </w:t>
            </w:r>
            <w:proofErr w:type="spellStart"/>
            <w:r>
              <w:rPr>
                <w:rFonts w:ascii="Calibri" w:hAnsi="Calibri" w:cs="Arial"/>
                <w:b/>
                <w:sz w:val="22"/>
                <w:szCs w:val="22"/>
              </w:rPr>
              <w:t>Headteacher</w:t>
            </w:r>
            <w:proofErr w:type="spellEnd"/>
            <w:r>
              <w:rPr>
                <w:rFonts w:ascii="Calibri" w:hAnsi="Calibri" w:cs="Arial"/>
                <w:b/>
                <w:sz w:val="22"/>
                <w:szCs w:val="22"/>
              </w:rPr>
              <w:t xml:space="preserve"> might reasonably request for the effective leadership and management of the school</w:t>
            </w:r>
          </w:p>
          <w:p>
            <w:pPr>
              <w:pStyle w:val="ListParagraph"/>
              <w:ind w:left="0"/>
              <w:rPr>
                <w:rFonts w:ascii="Calibri" w:hAnsi="Calibri"/>
                <w:sz w:val="22"/>
                <w:szCs w:val="22"/>
              </w:rPr>
            </w:pPr>
          </w:p>
        </w:tc>
      </w:tr>
      <w:tr>
        <w:tc>
          <w:tcPr>
            <w:tcW w:w="2388" w:type="dxa"/>
            <w:shd w:val="clear" w:color="auto" w:fill="E6E6E6"/>
          </w:tcPr>
          <w:p>
            <w:pPr>
              <w:rPr>
                <w:rFonts w:ascii="Calibri" w:hAnsi="Calibri"/>
                <w:b/>
                <w:sz w:val="22"/>
                <w:szCs w:val="22"/>
              </w:rPr>
            </w:pPr>
            <w:r>
              <w:rPr>
                <w:rFonts w:ascii="Calibri" w:hAnsi="Calibri"/>
                <w:b/>
                <w:sz w:val="22"/>
                <w:szCs w:val="22"/>
              </w:rPr>
              <w:t>Reporting  To</w:t>
            </w:r>
          </w:p>
        </w:tc>
        <w:tc>
          <w:tcPr>
            <w:tcW w:w="8294" w:type="dxa"/>
            <w:shd w:val="clear" w:color="auto" w:fill="auto"/>
          </w:tcPr>
          <w:p>
            <w:pPr>
              <w:numPr>
                <w:ilvl w:val="0"/>
                <w:numId w:val="3"/>
              </w:numPr>
              <w:rPr>
                <w:rFonts w:ascii="Calibri" w:hAnsi="Calibri"/>
                <w:sz w:val="22"/>
                <w:szCs w:val="22"/>
              </w:rPr>
            </w:pPr>
            <w:r>
              <w:rPr>
                <w:rFonts w:ascii="Calibri" w:hAnsi="Calibri"/>
                <w:sz w:val="22"/>
                <w:szCs w:val="22"/>
              </w:rPr>
              <w:t xml:space="preserve">Assistant </w:t>
            </w:r>
            <w:proofErr w:type="spellStart"/>
            <w:r>
              <w:rPr>
                <w:rFonts w:ascii="Calibri" w:hAnsi="Calibri"/>
                <w:sz w:val="22"/>
                <w:szCs w:val="22"/>
              </w:rPr>
              <w:t>Headteacher</w:t>
            </w:r>
            <w:proofErr w:type="spellEnd"/>
          </w:p>
          <w:p>
            <w:pPr>
              <w:ind w:left="12"/>
              <w:rPr>
                <w:rFonts w:ascii="Calibri" w:hAnsi="Calibri"/>
                <w:sz w:val="22"/>
                <w:szCs w:val="22"/>
              </w:rPr>
            </w:pPr>
          </w:p>
        </w:tc>
      </w:tr>
      <w:tr>
        <w:tc>
          <w:tcPr>
            <w:tcW w:w="2388" w:type="dxa"/>
            <w:shd w:val="clear" w:color="auto" w:fill="E6E6E6"/>
          </w:tcPr>
          <w:p>
            <w:pPr>
              <w:rPr>
                <w:rFonts w:ascii="Calibri" w:hAnsi="Calibri"/>
                <w:b/>
                <w:sz w:val="22"/>
                <w:szCs w:val="22"/>
              </w:rPr>
            </w:pPr>
            <w:r>
              <w:rPr>
                <w:rFonts w:ascii="Calibri" w:hAnsi="Calibri"/>
                <w:b/>
                <w:sz w:val="22"/>
                <w:szCs w:val="22"/>
              </w:rPr>
              <w:t>Responsible For</w:t>
            </w:r>
          </w:p>
        </w:tc>
        <w:tc>
          <w:tcPr>
            <w:tcW w:w="8294" w:type="dxa"/>
            <w:shd w:val="clear" w:color="auto" w:fill="auto"/>
          </w:tcPr>
          <w:p>
            <w:pPr>
              <w:numPr>
                <w:ilvl w:val="0"/>
                <w:numId w:val="1"/>
              </w:numPr>
              <w:tabs>
                <w:tab w:val="clear" w:pos="720"/>
                <w:tab w:val="num" w:pos="372"/>
              </w:tabs>
              <w:ind w:left="372"/>
              <w:rPr>
                <w:rFonts w:ascii="Calibri" w:hAnsi="Calibri"/>
                <w:sz w:val="22"/>
                <w:szCs w:val="22"/>
              </w:rPr>
            </w:pPr>
            <w:r>
              <w:rPr>
                <w:rFonts w:ascii="Calibri" w:hAnsi="Calibri"/>
                <w:sz w:val="22"/>
                <w:szCs w:val="22"/>
              </w:rPr>
              <w:t>Assistant Head of MFL</w:t>
            </w:r>
          </w:p>
          <w:p>
            <w:pPr>
              <w:numPr>
                <w:ilvl w:val="0"/>
                <w:numId w:val="1"/>
              </w:numPr>
              <w:tabs>
                <w:tab w:val="clear" w:pos="720"/>
                <w:tab w:val="num" w:pos="372"/>
              </w:tabs>
              <w:ind w:left="372"/>
              <w:rPr>
                <w:rFonts w:ascii="Calibri" w:hAnsi="Calibri"/>
                <w:sz w:val="22"/>
                <w:szCs w:val="22"/>
              </w:rPr>
            </w:pPr>
            <w:r>
              <w:rPr>
                <w:rFonts w:ascii="Calibri" w:hAnsi="Calibri"/>
                <w:sz w:val="22"/>
                <w:szCs w:val="22"/>
              </w:rPr>
              <w:t>Teachers within MFL Department</w:t>
            </w:r>
          </w:p>
        </w:tc>
      </w:tr>
      <w:tr>
        <w:tc>
          <w:tcPr>
            <w:tcW w:w="2388" w:type="dxa"/>
            <w:shd w:val="clear" w:color="auto" w:fill="E6E6E6"/>
          </w:tcPr>
          <w:p>
            <w:pPr>
              <w:rPr>
                <w:rFonts w:ascii="Calibri" w:hAnsi="Calibri"/>
                <w:b/>
                <w:sz w:val="22"/>
                <w:szCs w:val="22"/>
              </w:rPr>
            </w:pPr>
            <w:r>
              <w:rPr>
                <w:rFonts w:ascii="Calibri" w:hAnsi="Calibri"/>
                <w:b/>
                <w:sz w:val="22"/>
                <w:szCs w:val="22"/>
              </w:rPr>
              <w:t>Salary/Grade</w:t>
            </w:r>
          </w:p>
        </w:tc>
        <w:tc>
          <w:tcPr>
            <w:tcW w:w="8294" w:type="dxa"/>
            <w:shd w:val="clear" w:color="auto" w:fill="auto"/>
          </w:tcPr>
          <w:p>
            <w:pPr>
              <w:numPr>
                <w:ilvl w:val="0"/>
                <w:numId w:val="1"/>
              </w:numPr>
              <w:tabs>
                <w:tab w:val="clear" w:pos="720"/>
                <w:tab w:val="num" w:pos="372"/>
              </w:tabs>
              <w:ind w:left="372"/>
              <w:rPr>
                <w:rFonts w:ascii="Calibri" w:hAnsi="Calibri"/>
                <w:sz w:val="22"/>
                <w:szCs w:val="22"/>
              </w:rPr>
            </w:pPr>
            <w:r>
              <w:rPr>
                <w:rFonts w:ascii="Calibri" w:hAnsi="Calibri"/>
                <w:sz w:val="22"/>
                <w:szCs w:val="22"/>
              </w:rPr>
              <w:t>TLR 1B £10,051</w:t>
            </w:r>
          </w:p>
          <w:p>
            <w:pPr>
              <w:ind w:left="12"/>
              <w:rPr>
                <w:rFonts w:ascii="Calibri" w:hAnsi="Calibri"/>
                <w:sz w:val="22"/>
                <w:szCs w:val="22"/>
              </w:rPr>
            </w:pPr>
            <w:bookmarkStart w:id="1" w:name="_GoBack"/>
            <w:bookmarkEnd w:id="1"/>
          </w:p>
        </w:tc>
      </w:tr>
      <w:tr>
        <w:tc>
          <w:tcPr>
            <w:tcW w:w="2388" w:type="dxa"/>
            <w:shd w:val="clear" w:color="auto" w:fill="E6E6E6"/>
          </w:tcPr>
          <w:p>
            <w:pPr>
              <w:rPr>
                <w:rFonts w:ascii="Calibri" w:hAnsi="Calibri"/>
                <w:b/>
                <w:sz w:val="22"/>
                <w:szCs w:val="22"/>
              </w:rPr>
            </w:pPr>
            <w:r>
              <w:rPr>
                <w:rFonts w:ascii="Calibri" w:hAnsi="Calibri"/>
                <w:b/>
                <w:sz w:val="22"/>
                <w:szCs w:val="22"/>
              </w:rPr>
              <w:t>Disclosure</w:t>
            </w:r>
          </w:p>
        </w:tc>
        <w:tc>
          <w:tcPr>
            <w:tcW w:w="8294" w:type="dxa"/>
            <w:shd w:val="clear" w:color="auto" w:fill="auto"/>
          </w:tcPr>
          <w:p>
            <w:pPr>
              <w:numPr>
                <w:ilvl w:val="0"/>
                <w:numId w:val="1"/>
              </w:numPr>
              <w:tabs>
                <w:tab w:val="clear" w:pos="720"/>
                <w:tab w:val="num" w:pos="372"/>
              </w:tabs>
              <w:ind w:left="372"/>
              <w:rPr>
                <w:rFonts w:ascii="Calibri" w:hAnsi="Calibri"/>
                <w:sz w:val="22"/>
                <w:szCs w:val="22"/>
              </w:rPr>
            </w:pPr>
            <w:r>
              <w:rPr>
                <w:rFonts w:ascii="Calibri" w:hAnsi="Calibri"/>
                <w:sz w:val="22"/>
                <w:szCs w:val="22"/>
              </w:rPr>
              <w:t>Enhanced</w:t>
            </w:r>
          </w:p>
          <w:p>
            <w:pPr>
              <w:ind w:left="12"/>
              <w:rPr>
                <w:rFonts w:ascii="Calibri" w:hAnsi="Calibri"/>
                <w:sz w:val="22"/>
                <w:szCs w:val="22"/>
              </w:rPr>
            </w:pPr>
          </w:p>
        </w:tc>
      </w:tr>
      <w:tr>
        <w:tc>
          <w:tcPr>
            <w:tcW w:w="10682" w:type="dxa"/>
            <w:gridSpan w:val="2"/>
            <w:shd w:val="clear" w:color="auto" w:fill="E6E6E6"/>
          </w:tcPr>
          <w:p>
            <w:pPr>
              <w:jc w:val="both"/>
              <w:rPr>
                <w:rFonts w:ascii="Calibri" w:hAnsi="Calibri"/>
                <w:b/>
                <w:sz w:val="22"/>
                <w:szCs w:val="22"/>
              </w:rPr>
            </w:pPr>
            <w:r>
              <w:rPr>
                <w:rFonts w:ascii="Calibri" w:hAnsi="Calibri"/>
                <w:b/>
                <w:sz w:val="22"/>
                <w:szCs w:val="22"/>
              </w:rPr>
              <w:t>MAIN DUTIES</w:t>
            </w:r>
          </w:p>
        </w:tc>
      </w:tr>
      <w:tr>
        <w:tc>
          <w:tcPr>
            <w:tcW w:w="2388" w:type="dxa"/>
            <w:shd w:val="clear" w:color="auto" w:fill="E6E6E6"/>
          </w:tcPr>
          <w:p>
            <w:pPr>
              <w:rPr>
                <w:rFonts w:ascii="Calibri" w:hAnsi="Calibri"/>
                <w:b/>
                <w:sz w:val="22"/>
                <w:szCs w:val="22"/>
              </w:rPr>
            </w:pPr>
            <w:r>
              <w:rPr>
                <w:rFonts w:ascii="Calibri" w:hAnsi="Calibri"/>
                <w:b/>
                <w:sz w:val="22"/>
                <w:szCs w:val="22"/>
              </w:rPr>
              <w:t>Catholic Ethos</w:t>
            </w:r>
          </w:p>
        </w:tc>
        <w:tc>
          <w:tcPr>
            <w:tcW w:w="8294" w:type="dxa"/>
            <w:shd w:val="clear" w:color="auto" w:fill="auto"/>
          </w:tcPr>
          <w:p>
            <w:pPr>
              <w:pStyle w:val="ListParagraph"/>
              <w:numPr>
                <w:ilvl w:val="0"/>
                <w:numId w:val="20"/>
              </w:numPr>
              <w:rPr>
                <w:rFonts w:ascii="Calibri" w:hAnsi="Calibri" w:cs="Calibri"/>
                <w:sz w:val="22"/>
                <w:szCs w:val="20"/>
              </w:rPr>
            </w:pPr>
            <w:r>
              <w:rPr>
                <w:rFonts w:ascii="Calibri" w:hAnsi="Calibri" w:cs="Arial"/>
                <w:sz w:val="22"/>
                <w:szCs w:val="22"/>
              </w:rPr>
              <w:t>To actively support, enhance and develop the Catholic ethos of our school</w:t>
            </w:r>
            <w:r>
              <w:rPr>
                <w:rFonts w:ascii="Calibri" w:hAnsi="Calibri" w:cs="Calibri"/>
                <w:sz w:val="22"/>
                <w:szCs w:val="20"/>
              </w:rPr>
              <w:t xml:space="preserve"> </w:t>
            </w:r>
          </w:p>
          <w:p>
            <w:pPr>
              <w:pStyle w:val="ListParagraph"/>
              <w:numPr>
                <w:ilvl w:val="0"/>
                <w:numId w:val="20"/>
              </w:numPr>
              <w:jc w:val="both"/>
              <w:rPr>
                <w:rFonts w:ascii="Calibri" w:hAnsi="Calibri" w:cs="Arial"/>
                <w:sz w:val="22"/>
                <w:szCs w:val="22"/>
              </w:rPr>
            </w:pPr>
            <w:r>
              <w:rPr>
                <w:rFonts w:ascii="Calibri" w:hAnsi="Calibri" w:cs="Calibri"/>
                <w:sz w:val="22"/>
                <w:szCs w:val="20"/>
              </w:rPr>
              <w:t>To ensure that the school Mission Statement is central to the discussions and work of the department</w:t>
            </w:r>
          </w:p>
        </w:tc>
      </w:tr>
      <w:tr>
        <w:tc>
          <w:tcPr>
            <w:tcW w:w="2388" w:type="dxa"/>
            <w:shd w:val="clear" w:color="auto" w:fill="E6E6E6"/>
          </w:tcPr>
          <w:p>
            <w:pPr>
              <w:rPr>
                <w:rFonts w:ascii="Calibri" w:hAnsi="Calibri"/>
                <w:b/>
                <w:sz w:val="22"/>
                <w:szCs w:val="22"/>
              </w:rPr>
            </w:pPr>
            <w:r>
              <w:rPr>
                <w:rFonts w:ascii="Calibri" w:hAnsi="Calibri"/>
                <w:b/>
                <w:sz w:val="22"/>
                <w:szCs w:val="22"/>
              </w:rPr>
              <w:t>Strategic Planning/Operational</w:t>
            </w:r>
          </w:p>
        </w:tc>
        <w:tc>
          <w:tcPr>
            <w:tcW w:w="8294" w:type="dxa"/>
            <w:shd w:val="clear" w:color="auto" w:fill="auto"/>
          </w:tcPr>
          <w:p>
            <w:pPr>
              <w:numPr>
                <w:ilvl w:val="0"/>
                <w:numId w:val="14"/>
              </w:numPr>
              <w:rPr>
                <w:rFonts w:ascii="Calibri" w:hAnsi="Calibri" w:cs="Calibri"/>
                <w:sz w:val="22"/>
                <w:szCs w:val="22"/>
              </w:rPr>
            </w:pPr>
            <w:r>
              <w:rPr>
                <w:rFonts w:ascii="Calibri" w:hAnsi="Calibri" w:cs="Calibri"/>
                <w:sz w:val="22"/>
                <w:szCs w:val="22"/>
              </w:rPr>
              <w:t>To construct, develop, implement and review the departmental improvement plan.</w:t>
            </w:r>
          </w:p>
          <w:p>
            <w:pPr>
              <w:numPr>
                <w:ilvl w:val="0"/>
                <w:numId w:val="14"/>
              </w:numPr>
              <w:rPr>
                <w:rFonts w:ascii="Calibri" w:hAnsi="Calibri" w:cs="Calibri"/>
                <w:sz w:val="22"/>
                <w:szCs w:val="22"/>
              </w:rPr>
            </w:pPr>
            <w:r>
              <w:rPr>
                <w:rFonts w:ascii="Calibri" w:hAnsi="Calibri" w:cs="Calibri"/>
                <w:sz w:val="22"/>
                <w:szCs w:val="22"/>
              </w:rPr>
              <w:t>To construct, develop, implement and review the departmental SEF</w:t>
            </w:r>
          </w:p>
          <w:p>
            <w:pPr>
              <w:numPr>
                <w:ilvl w:val="0"/>
                <w:numId w:val="14"/>
              </w:numPr>
              <w:rPr>
                <w:rFonts w:ascii="Calibri" w:hAnsi="Calibri" w:cs="Calibri"/>
                <w:sz w:val="22"/>
                <w:szCs w:val="22"/>
              </w:rPr>
            </w:pPr>
            <w:r>
              <w:rPr>
                <w:rFonts w:ascii="Calibri" w:hAnsi="Calibri" w:cs="Calibri"/>
                <w:sz w:val="22"/>
                <w:szCs w:val="22"/>
              </w:rPr>
              <w:t>To devise, implement, monitor and evaluate a whole school strategic plan for MFL</w:t>
            </w:r>
          </w:p>
          <w:p>
            <w:pPr>
              <w:numPr>
                <w:ilvl w:val="0"/>
                <w:numId w:val="14"/>
              </w:numPr>
              <w:rPr>
                <w:rFonts w:ascii="Calibri" w:hAnsi="Calibri" w:cs="Calibri"/>
                <w:sz w:val="22"/>
                <w:szCs w:val="22"/>
              </w:rPr>
            </w:pPr>
            <w:r>
              <w:rPr>
                <w:rFonts w:ascii="Calibri" w:hAnsi="Calibri" w:cs="Calibri"/>
                <w:sz w:val="22"/>
                <w:szCs w:val="22"/>
              </w:rPr>
              <w:t>To attend and deliver relevant INSET and training</w:t>
            </w:r>
          </w:p>
          <w:p>
            <w:pPr>
              <w:numPr>
                <w:ilvl w:val="0"/>
                <w:numId w:val="14"/>
              </w:numPr>
              <w:rPr>
                <w:rFonts w:ascii="Calibri" w:hAnsi="Calibri" w:cs="Calibri"/>
                <w:sz w:val="22"/>
                <w:szCs w:val="22"/>
              </w:rPr>
            </w:pPr>
            <w:r>
              <w:rPr>
                <w:rFonts w:ascii="Calibri" w:hAnsi="Calibri" w:cs="Calibri"/>
                <w:sz w:val="22"/>
                <w:szCs w:val="22"/>
              </w:rPr>
              <w:t>To liaise with external providers to deliver relevant workshops and learning experiences for students as appropriate</w:t>
            </w:r>
          </w:p>
          <w:p>
            <w:pPr>
              <w:numPr>
                <w:ilvl w:val="0"/>
                <w:numId w:val="14"/>
              </w:numPr>
              <w:rPr>
                <w:rFonts w:ascii="Calibri" w:hAnsi="Calibri" w:cs="Calibri"/>
                <w:sz w:val="22"/>
                <w:szCs w:val="22"/>
              </w:rPr>
            </w:pPr>
            <w:r>
              <w:rPr>
                <w:rFonts w:ascii="Calibri" w:hAnsi="Calibri" w:cs="Calibri"/>
                <w:sz w:val="22"/>
                <w:szCs w:val="22"/>
              </w:rPr>
              <w:t>To participate in Ofsted and Section 48 preparations as appropriate</w:t>
            </w:r>
          </w:p>
          <w:p>
            <w:pPr>
              <w:ind w:left="360"/>
              <w:rPr>
                <w:rFonts w:ascii="Calibri" w:hAnsi="Calibri" w:cs="Calibri"/>
                <w:sz w:val="22"/>
                <w:szCs w:val="22"/>
              </w:rPr>
            </w:pPr>
          </w:p>
        </w:tc>
      </w:tr>
      <w:tr>
        <w:tc>
          <w:tcPr>
            <w:tcW w:w="2388" w:type="dxa"/>
            <w:shd w:val="clear" w:color="auto" w:fill="E6E6E6"/>
          </w:tcPr>
          <w:p>
            <w:pPr>
              <w:rPr>
                <w:rFonts w:ascii="Calibri" w:hAnsi="Calibri" w:cs="Calibri"/>
                <w:b/>
                <w:sz w:val="22"/>
                <w:szCs w:val="22"/>
              </w:rPr>
            </w:pPr>
            <w:r>
              <w:rPr>
                <w:rFonts w:ascii="Calibri" w:hAnsi="Calibri" w:cs="Calibri"/>
                <w:b/>
                <w:sz w:val="22"/>
                <w:szCs w:val="22"/>
              </w:rPr>
              <w:t>Learning &amp; Teaching</w:t>
            </w:r>
          </w:p>
        </w:tc>
        <w:tc>
          <w:tcPr>
            <w:tcW w:w="8294" w:type="dxa"/>
            <w:shd w:val="clear" w:color="auto" w:fill="auto"/>
          </w:tcPr>
          <w:p>
            <w:pPr>
              <w:pStyle w:val="NoSpacing"/>
              <w:rPr>
                <w:sz w:val="22"/>
                <w:szCs w:val="22"/>
              </w:rPr>
            </w:pPr>
            <w:r>
              <w:rPr>
                <w:sz w:val="22"/>
                <w:szCs w:val="22"/>
              </w:rPr>
              <w:t>To ensure that in MFL:</w:t>
            </w:r>
          </w:p>
          <w:p>
            <w:pPr>
              <w:pStyle w:val="NoSpacing"/>
              <w:rPr>
                <w:sz w:val="20"/>
                <w:szCs w:val="20"/>
              </w:rPr>
            </w:pPr>
          </w:p>
          <w:p>
            <w:pPr>
              <w:pStyle w:val="NoSpacing"/>
              <w:numPr>
                <w:ilvl w:val="0"/>
                <w:numId w:val="24"/>
              </w:numPr>
              <w:ind w:left="360"/>
              <w:rPr>
                <w:rFonts w:cs="Tahoma"/>
                <w:sz w:val="22"/>
                <w:szCs w:val="22"/>
              </w:rPr>
            </w:pPr>
            <w:r>
              <w:rPr>
                <w:rFonts w:cs="Tahoma"/>
                <w:sz w:val="22"/>
                <w:szCs w:val="22"/>
              </w:rPr>
              <w:t xml:space="preserve">Teaching in all key stages is outstanding and never less than consistently good. As a result, all </w:t>
            </w:r>
            <w:r>
              <w:rPr>
                <w:rFonts w:cs="Calibri"/>
                <w:sz w:val="22"/>
                <w:szCs w:val="22"/>
              </w:rPr>
              <w:t>students</w:t>
            </w:r>
            <w:r>
              <w:rPr>
                <w:rFonts w:cs="Tahoma"/>
                <w:sz w:val="22"/>
                <w:szCs w:val="22"/>
              </w:rPr>
              <w:t xml:space="preserve"> in the department, including </w:t>
            </w:r>
            <w:r>
              <w:rPr>
                <w:sz w:val="22"/>
                <w:szCs w:val="22"/>
              </w:rPr>
              <w:t xml:space="preserve">disadvantaged </w:t>
            </w:r>
            <w:r>
              <w:rPr>
                <w:rFonts w:cs="Arial"/>
                <w:sz w:val="22"/>
                <w:szCs w:val="22"/>
              </w:rPr>
              <w:t>students</w:t>
            </w:r>
            <w:r>
              <w:rPr>
                <w:sz w:val="22"/>
                <w:szCs w:val="22"/>
              </w:rPr>
              <w:t xml:space="preserve"> and </w:t>
            </w:r>
            <w:r>
              <w:rPr>
                <w:rFonts w:cs="Arial"/>
                <w:sz w:val="22"/>
                <w:szCs w:val="22"/>
              </w:rPr>
              <w:t>students</w:t>
            </w:r>
            <w:r>
              <w:rPr>
                <w:sz w:val="22"/>
                <w:szCs w:val="22"/>
              </w:rPr>
              <w:t xml:space="preserve"> who have special educational needs and/or disabilities </w:t>
            </w:r>
            <w:r>
              <w:rPr>
                <w:rFonts w:cs="Tahoma"/>
                <w:sz w:val="22"/>
                <w:szCs w:val="22"/>
              </w:rPr>
              <w:t>are making rapid and sustained progress</w:t>
            </w:r>
          </w:p>
          <w:p>
            <w:pPr>
              <w:pStyle w:val="NoSpacing"/>
              <w:ind w:left="-47"/>
              <w:rPr>
                <w:rFonts w:cs="Tahoma"/>
                <w:sz w:val="22"/>
                <w:szCs w:val="22"/>
              </w:rPr>
            </w:pPr>
          </w:p>
          <w:p>
            <w:pPr>
              <w:numPr>
                <w:ilvl w:val="0"/>
                <w:numId w:val="24"/>
              </w:numPr>
              <w:ind w:left="360"/>
              <w:rPr>
                <w:rFonts w:ascii="Calibri" w:hAnsi="Calibri" w:cs="Tahoma"/>
                <w:sz w:val="22"/>
                <w:szCs w:val="22"/>
                <w:lang w:val="en-US" w:eastAsia="ja-JP"/>
              </w:rPr>
            </w:pPr>
            <w:r>
              <w:rPr>
                <w:rFonts w:ascii="Calibri" w:hAnsi="Calibri" w:cs="Tahoma"/>
                <w:sz w:val="22"/>
                <w:szCs w:val="22"/>
                <w:lang w:val="en-US" w:eastAsia="ja-JP"/>
              </w:rPr>
              <w:t>Teachers demonstrate deep knowledge and understanding of MFL. They use questioning highly effectively and demonstrate understanding of the ways students think about subject content. They identify students’ common misconceptions and act to ensure they are corrected</w:t>
            </w:r>
          </w:p>
          <w:p>
            <w:pPr>
              <w:rPr>
                <w:rFonts w:ascii="Calibri" w:hAnsi="Calibri" w:cs="Tahoma"/>
                <w:sz w:val="22"/>
                <w:szCs w:val="22"/>
                <w:lang w:val="en-US" w:eastAsia="ja-JP"/>
              </w:rPr>
            </w:pPr>
          </w:p>
          <w:p>
            <w:pPr>
              <w:numPr>
                <w:ilvl w:val="0"/>
                <w:numId w:val="24"/>
              </w:numPr>
              <w:ind w:left="360"/>
              <w:rPr>
                <w:rFonts w:ascii="Calibri" w:hAnsi="Calibri" w:cs="Arial"/>
                <w:sz w:val="22"/>
                <w:szCs w:val="22"/>
              </w:rPr>
            </w:pPr>
            <w:r>
              <w:rPr>
                <w:rFonts w:ascii="Calibri" w:hAnsi="Calibri" w:cs="Arial"/>
                <w:sz w:val="22"/>
                <w:szCs w:val="22"/>
              </w:rPr>
              <w:t>Teachers plan lessons very effectively, making maximum use of lesson time and coordinating lesson resources well. They manage students’ behaviour highly effectively with clear rules that are consistently enforced</w:t>
            </w:r>
          </w:p>
          <w:p>
            <w:pPr>
              <w:rPr>
                <w:rFonts w:ascii="Calibri" w:hAnsi="Calibri" w:cs="Arial"/>
                <w:sz w:val="22"/>
                <w:szCs w:val="22"/>
              </w:rPr>
            </w:pPr>
          </w:p>
          <w:p>
            <w:pPr>
              <w:numPr>
                <w:ilvl w:val="0"/>
                <w:numId w:val="24"/>
              </w:numPr>
              <w:ind w:left="360"/>
              <w:rPr>
                <w:rFonts w:ascii="Calibri" w:hAnsi="Calibri" w:cs="Arial"/>
                <w:sz w:val="22"/>
                <w:szCs w:val="22"/>
              </w:rPr>
            </w:pPr>
            <w:r>
              <w:rPr>
                <w:rFonts w:ascii="Calibri" w:hAnsi="Calibri" w:cs="Arial"/>
                <w:sz w:val="22"/>
                <w:szCs w:val="22"/>
              </w:rPr>
              <w:t>Teachers provide students with incisive feedback, in line with the school’s assessment policy, about what students can do to improve their knowledge, understanding and skills. The students use this feedback effectively</w:t>
            </w:r>
          </w:p>
          <w:p>
            <w:pPr>
              <w:ind w:left="-360"/>
              <w:rPr>
                <w:rFonts w:ascii="Calibri" w:hAnsi="Calibri" w:cs="Arial"/>
                <w:sz w:val="22"/>
                <w:szCs w:val="22"/>
              </w:rPr>
            </w:pPr>
          </w:p>
          <w:p>
            <w:pPr>
              <w:numPr>
                <w:ilvl w:val="0"/>
                <w:numId w:val="24"/>
              </w:numPr>
              <w:ind w:left="360"/>
              <w:rPr>
                <w:rFonts w:ascii="Calibri" w:hAnsi="Calibri" w:cs="Arial"/>
                <w:sz w:val="22"/>
                <w:szCs w:val="22"/>
              </w:rPr>
            </w:pPr>
            <w:r>
              <w:rPr>
                <w:rFonts w:ascii="Calibri" w:hAnsi="Calibri" w:cs="Arial"/>
                <w:sz w:val="22"/>
                <w:szCs w:val="22"/>
              </w:rPr>
              <w:t xml:space="preserve">Teachers set challenging homework, in line with the school’s policy and as appropriate for the age and stage of students, that consolidates learning, deepens </w:t>
            </w:r>
            <w:r>
              <w:rPr>
                <w:rFonts w:ascii="Calibri" w:hAnsi="Calibri" w:cs="Arial"/>
                <w:sz w:val="22"/>
                <w:szCs w:val="22"/>
              </w:rPr>
              <w:lastRenderedPageBreak/>
              <w:t>understanding and prepares students very well for future learning</w:t>
            </w:r>
          </w:p>
          <w:p>
            <w:pPr>
              <w:rPr>
                <w:rFonts w:ascii="Calibri" w:hAnsi="Calibri" w:cs="Arial"/>
                <w:sz w:val="22"/>
                <w:szCs w:val="22"/>
              </w:rPr>
            </w:pPr>
          </w:p>
          <w:p>
            <w:pPr>
              <w:numPr>
                <w:ilvl w:val="0"/>
                <w:numId w:val="24"/>
              </w:numPr>
              <w:ind w:left="360"/>
              <w:rPr>
                <w:rFonts w:ascii="Calibri" w:hAnsi="Calibri" w:cs="Arial"/>
                <w:sz w:val="22"/>
                <w:szCs w:val="22"/>
              </w:rPr>
            </w:pPr>
            <w:r>
              <w:rPr>
                <w:rFonts w:ascii="Calibri" w:hAnsi="Calibri" w:cs="Arial"/>
                <w:sz w:val="22"/>
                <w:szCs w:val="22"/>
              </w:rPr>
              <w:t xml:space="preserve">Teachers embed reading, writing and communication and, where appropriate, mathematics exceptionally well across the curriculum, equipping all students with the necessary skills to make progress </w:t>
            </w:r>
          </w:p>
          <w:p>
            <w:pPr>
              <w:rPr>
                <w:rFonts w:ascii="Calibri" w:hAnsi="Calibri" w:cs="Arial"/>
                <w:sz w:val="22"/>
                <w:szCs w:val="22"/>
              </w:rPr>
            </w:pPr>
          </w:p>
          <w:p>
            <w:pPr>
              <w:numPr>
                <w:ilvl w:val="0"/>
                <w:numId w:val="24"/>
              </w:numPr>
              <w:ind w:left="360"/>
              <w:rPr>
                <w:rFonts w:ascii="Calibri" w:hAnsi="Calibri" w:cs="Arial"/>
                <w:sz w:val="22"/>
                <w:szCs w:val="22"/>
              </w:rPr>
            </w:pPr>
            <w:r>
              <w:rPr>
                <w:rFonts w:ascii="Calibri" w:hAnsi="Calibri" w:cs="Arial"/>
                <w:sz w:val="22"/>
                <w:szCs w:val="22"/>
              </w:rPr>
              <w:t>Teachers are determined that students achieve well. They encourage students to try hard, recognise their efforts and ensure that students take pride in all aspects of their work. Teachers have consistently high expectations of all students’ attitudes to learning</w:t>
            </w:r>
          </w:p>
          <w:p>
            <w:pPr>
              <w:rPr>
                <w:rFonts w:ascii="Calibri" w:hAnsi="Calibri" w:cs="Arial"/>
                <w:sz w:val="22"/>
                <w:szCs w:val="22"/>
              </w:rPr>
            </w:pPr>
          </w:p>
          <w:p>
            <w:pPr>
              <w:numPr>
                <w:ilvl w:val="0"/>
                <w:numId w:val="24"/>
              </w:numPr>
              <w:ind w:left="360"/>
              <w:rPr>
                <w:rFonts w:ascii="Calibri" w:hAnsi="Calibri" w:cs="Arial"/>
                <w:sz w:val="22"/>
                <w:szCs w:val="22"/>
              </w:rPr>
            </w:pPr>
            <w:r>
              <w:rPr>
                <w:rFonts w:ascii="Calibri" w:hAnsi="Calibri" w:cs="Arial"/>
                <w:sz w:val="22"/>
                <w:szCs w:val="22"/>
              </w:rPr>
              <w:t xml:space="preserve">Students love the challenge of learning and are resilient to failure. They are curious, interested learners who seek out and use new information to develop, consolidate and deepen their knowledge, understanding and skills. They thrive in lessons and also regularly take up opportunities to learn through extra-curricular activities </w:t>
            </w:r>
          </w:p>
          <w:p>
            <w:pPr>
              <w:rPr>
                <w:rFonts w:ascii="Calibri" w:hAnsi="Calibri" w:cs="Arial"/>
                <w:sz w:val="22"/>
                <w:szCs w:val="22"/>
              </w:rPr>
            </w:pPr>
          </w:p>
          <w:p>
            <w:pPr>
              <w:numPr>
                <w:ilvl w:val="0"/>
                <w:numId w:val="24"/>
              </w:numPr>
              <w:ind w:left="360"/>
              <w:rPr>
                <w:rFonts w:ascii="Calibri" w:hAnsi="Calibri" w:cs="Arial"/>
                <w:sz w:val="22"/>
                <w:szCs w:val="22"/>
              </w:rPr>
            </w:pPr>
            <w:r>
              <w:rPr>
                <w:rFonts w:ascii="Calibri" w:hAnsi="Calibri" w:cs="Arial"/>
                <w:sz w:val="22"/>
                <w:szCs w:val="22"/>
              </w:rPr>
              <w:t xml:space="preserve">Students are eager to know how to improve their learning. They capitalise on opportunities to use feedback, written or oral, to improve </w:t>
            </w:r>
            <w:r>
              <w:rPr>
                <w:rFonts w:ascii="Calibri" w:hAnsi="Calibri" w:cs="Arial"/>
                <w:sz w:val="22"/>
                <w:szCs w:val="22"/>
              </w:rPr>
              <w:br/>
            </w:r>
          </w:p>
        </w:tc>
      </w:tr>
      <w:tr>
        <w:tc>
          <w:tcPr>
            <w:tcW w:w="2388" w:type="dxa"/>
            <w:shd w:val="clear" w:color="auto" w:fill="E6E6E6"/>
          </w:tcPr>
          <w:p>
            <w:pPr>
              <w:rPr>
                <w:rFonts w:ascii="Calibri" w:hAnsi="Calibri" w:cs="Calibri"/>
                <w:b/>
                <w:sz w:val="22"/>
                <w:szCs w:val="22"/>
              </w:rPr>
            </w:pPr>
            <w:r>
              <w:rPr>
                <w:rFonts w:ascii="Calibri" w:hAnsi="Calibri" w:cs="Calibri"/>
                <w:b/>
                <w:sz w:val="22"/>
                <w:szCs w:val="22"/>
              </w:rPr>
              <w:lastRenderedPageBreak/>
              <w:t xml:space="preserve">Achievement of </w:t>
            </w:r>
            <w:r>
              <w:rPr>
                <w:rFonts w:ascii="Calibri" w:hAnsi="Calibri" w:cs="Arial"/>
                <w:b/>
                <w:sz w:val="22"/>
                <w:szCs w:val="22"/>
              </w:rPr>
              <w:t>Students</w:t>
            </w:r>
          </w:p>
        </w:tc>
        <w:tc>
          <w:tcPr>
            <w:tcW w:w="8294" w:type="dxa"/>
            <w:shd w:val="clear" w:color="auto" w:fill="auto"/>
          </w:tcPr>
          <w:p>
            <w:pPr>
              <w:pStyle w:val="NoSpacing"/>
              <w:rPr>
                <w:sz w:val="22"/>
                <w:szCs w:val="22"/>
              </w:rPr>
            </w:pPr>
            <w:r>
              <w:rPr>
                <w:sz w:val="22"/>
                <w:szCs w:val="22"/>
              </w:rPr>
              <w:t>To ensure that in MFL:</w:t>
            </w:r>
          </w:p>
          <w:p>
            <w:pPr>
              <w:pStyle w:val="NoSpacing"/>
              <w:rPr>
                <w:sz w:val="22"/>
                <w:szCs w:val="22"/>
              </w:rPr>
            </w:pPr>
          </w:p>
          <w:p>
            <w:pPr>
              <w:pStyle w:val="NoSpacing"/>
              <w:numPr>
                <w:ilvl w:val="0"/>
                <w:numId w:val="23"/>
              </w:numPr>
              <w:rPr>
                <w:sz w:val="22"/>
                <w:szCs w:val="22"/>
              </w:rPr>
            </w:pPr>
            <w:r>
              <w:rPr>
                <w:sz w:val="22"/>
                <w:szCs w:val="22"/>
              </w:rPr>
              <w:t xml:space="preserve">Throughout each year group and across the curriculum, current </w:t>
            </w:r>
            <w:r>
              <w:rPr>
                <w:rFonts w:cs="Arial"/>
                <w:sz w:val="22"/>
                <w:szCs w:val="22"/>
              </w:rPr>
              <w:t>students</w:t>
            </w:r>
            <w:r>
              <w:rPr>
                <w:sz w:val="22"/>
                <w:szCs w:val="22"/>
              </w:rPr>
              <w:t xml:space="preserve"> make substantial and sustained progress, developing excellent knowledge, understanding and skills, considering their different starting points</w:t>
            </w:r>
          </w:p>
          <w:p>
            <w:pPr>
              <w:pStyle w:val="NoSpacing"/>
              <w:ind w:left="360"/>
              <w:rPr>
                <w:sz w:val="22"/>
                <w:szCs w:val="22"/>
              </w:rPr>
            </w:pPr>
          </w:p>
          <w:p>
            <w:pPr>
              <w:pStyle w:val="NoSpacing"/>
              <w:numPr>
                <w:ilvl w:val="0"/>
                <w:numId w:val="23"/>
              </w:numPr>
              <w:rPr>
                <w:sz w:val="22"/>
                <w:szCs w:val="22"/>
              </w:rPr>
            </w:pPr>
            <w:r>
              <w:rPr>
                <w:sz w:val="22"/>
                <w:szCs w:val="22"/>
              </w:rPr>
              <w:t xml:space="preserve">The progress across the curriculum of disadvantaged </w:t>
            </w:r>
            <w:r>
              <w:rPr>
                <w:rFonts w:cs="Arial"/>
                <w:sz w:val="22"/>
                <w:szCs w:val="22"/>
              </w:rPr>
              <w:t>students</w:t>
            </w:r>
            <w:r>
              <w:rPr>
                <w:sz w:val="22"/>
                <w:szCs w:val="22"/>
              </w:rPr>
              <w:t xml:space="preserve"> and </w:t>
            </w:r>
            <w:r>
              <w:rPr>
                <w:rFonts w:cs="Arial"/>
                <w:sz w:val="22"/>
                <w:szCs w:val="22"/>
              </w:rPr>
              <w:t>students</w:t>
            </w:r>
            <w:r>
              <w:rPr>
                <w:sz w:val="22"/>
                <w:szCs w:val="22"/>
              </w:rPr>
              <w:t xml:space="preserve"> who have special educational needs and/or disabilities currently on roll matches or is improving towards that of other </w:t>
            </w:r>
            <w:r>
              <w:rPr>
                <w:rFonts w:cs="Arial"/>
                <w:sz w:val="22"/>
                <w:szCs w:val="22"/>
              </w:rPr>
              <w:t>students</w:t>
            </w:r>
            <w:r>
              <w:rPr>
                <w:sz w:val="22"/>
                <w:szCs w:val="22"/>
              </w:rPr>
              <w:t xml:space="preserve"> with the same starting points</w:t>
            </w:r>
          </w:p>
          <w:p>
            <w:pPr>
              <w:pStyle w:val="NoSpacing"/>
              <w:rPr>
                <w:sz w:val="22"/>
                <w:szCs w:val="22"/>
              </w:rPr>
            </w:pPr>
          </w:p>
          <w:p>
            <w:pPr>
              <w:pStyle w:val="NoSpacing"/>
              <w:numPr>
                <w:ilvl w:val="0"/>
                <w:numId w:val="23"/>
              </w:numPr>
              <w:rPr>
                <w:sz w:val="22"/>
                <w:szCs w:val="22"/>
              </w:rPr>
            </w:pPr>
            <w:r>
              <w:rPr>
                <w:rFonts w:cs="Arial"/>
                <w:sz w:val="22"/>
                <w:szCs w:val="22"/>
              </w:rPr>
              <w:t>Students</w:t>
            </w:r>
            <w:r>
              <w:rPr>
                <w:sz w:val="22"/>
                <w:szCs w:val="22"/>
              </w:rPr>
              <w:t xml:space="preserve"> are typically able to articulate their knowledge and understanding clearly in an age-appropriate way. They can hold thoughtful conversations about them with each other and adults</w:t>
            </w:r>
          </w:p>
          <w:p>
            <w:pPr>
              <w:pStyle w:val="NoSpacing"/>
              <w:rPr>
                <w:sz w:val="22"/>
                <w:szCs w:val="22"/>
              </w:rPr>
            </w:pPr>
          </w:p>
          <w:p>
            <w:pPr>
              <w:pStyle w:val="NoSpacing"/>
              <w:ind w:left="313"/>
              <w:jc w:val="both"/>
              <w:rPr>
                <w:rFonts w:cs="Arial"/>
                <w:sz w:val="22"/>
                <w:szCs w:val="22"/>
              </w:rPr>
            </w:pPr>
          </w:p>
        </w:tc>
      </w:tr>
      <w:tr>
        <w:tc>
          <w:tcPr>
            <w:tcW w:w="2388" w:type="dxa"/>
            <w:shd w:val="clear" w:color="auto" w:fill="E6E6E6"/>
          </w:tcPr>
          <w:p>
            <w:pPr>
              <w:rPr>
                <w:rFonts w:ascii="Calibri" w:hAnsi="Calibri" w:cs="Calibri"/>
                <w:b/>
                <w:sz w:val="22"/>
                <w:szCs w:val="22"/>
              </w:rPr>
            </w:pPr>
            <w:r>
              <w:rPr>
                <w:rFonts w:ascii="Calibri" w:hAnsi="Calibri" w:cs="Calibri"/>
                <w:b/>
                <w:sz w:val="22"/>
                <w:szCs w:val="22"/>
              </w:rPr>
              <w:t>Leadership &amp; Management</w:t>
            </w:r>
          </w:p>
        </w:tc>
        <w:tc>
          <w:tcPr>
            <w:tcW w:w="8294" w:type="dxa"/>
            <w:shd w:val="clear" w:color="auto" w:fill="auto"/>
          </w:tcPr>
          <w:p>
            <w:pPr>
              <w:pStyle w:val="NoSpacing"/>
              <w:rPr>
                <w:sz w:val="22"/>
                <w:szCs w:val="22"/>
              </w:rPr>
            </w:pPr>
            <w:r>
              <w:rPr>
                <w:sz w:val="22"/>
                <w:szCs w:val="22"/>
              </w:rPr>
              <w:t>To ensure that in MFL:</w:t>
            </w:r>
          </w:p>
          <w:p>
            <w:pPr>
              <w:pStyle w:val="NoSpacing"/>
              <w:rPr>
                <w:sz w:val="22"/>
                <w:szCs w:val="22"/>
              </w:rPr>
            </w:pPr>
          </w:p>
          <w:p>
            <w:pPr>
              <w:numPr>
                <w:ilvl w:val="0"/>
                <w:numId w:val="25"/>
              </w:numPr>
              <w:rPr>
                <w:rFonts w:ascii="Calibri" w:hAnsi="Calibri" w:cs="Arial"/>
                <w:sz w:val="22"/>
                <w:szCs w:val="22"/>
              </w:rPr>
            </w:pPr>
            <w:r>
              <w:rPr>
                <w:rFonts w:ascii="Calibri" w:hAnsi="Calibri" w:cs="Arial"/>
                <w:sz w:val="22"/>
                <w:szCs w:val="22"/>
              </w:rPr>
              <w:t xml:space="preserve">Schemes of learning mirror statutory requirements and engage students’ learning </w:t>
            </w:r>
          </w:p>
          <w:p>
            <w:pPr>
              <w:numPr>
                <w:ilvl w:val="0"/>
                <w:numId w:val="25"/>
              </w:numPr>
              <w:rPr>
                <w:rFonts w:ascii="Calibri" w:hAnsi="Calibri" w:cs="Arial"/>
                <w:sz w:val="22"/>
                <w:szCs w:val="22"/>
              </w:rPr>
            </w:pPr>
            <w:r>
              <w:rPr>
                <w:rFonts w:ascii="Calibri" w:hAnsi="Calibri" w:cs="Arial"/>
                <w:sz w:val="22"/>
                <w:szCs w:val="22"/>
              </w:rPr>
              <w:t xml:space="preserve">Effective assessment and tracking supports positive student progress </w:t>
            </w:r>
          </w:p>
          <w:p>
            <w:pPr>
              <w:numPr>
                <w:ilvl w:val="0"/>
                <w:numId w:val="25"/>
              </w:numPr>
              <w:rPr>
                <w:rFonts w:ascii="Calibri" w:hAnsi="Calibri" w:cs="Arial"/>
                <w:sz w:val="22"/>
                <w:szCs w:val="22"/>
              </w:rPr>
            </w:pPr>
            <w:r>
              <w:rPr>
                <w:rFonts w:ascii="Calibri" w:hAnsi="Calibri" w:cs="Arial"/>
                <w:sz w:val="22"/>
                <w:szCs w:val="22"/>
              </w:rPr>
              <w:t>The development, implementation and review of intervention strategies support student progress</w:t>
            </w:r>
          </w:p>
          <w:p>
            <w:pPr>
              <w:numPr>
                <w:ilvl w:val="0"/>
                <w:numId w:val="25"/>
              </w:numPr>
              <w:rPr>
                <w:rFonts w:ascii="Calibri" w:hAnsi="Calibri" w:cs="Arial"/>
                <w:sz w:val="22"/>
                <w:szCs w:val="22"/>
              </w:rPr>
            </w:pPr>
            <w:r>
              <w:rPr>
                <w:rFonts w:ascii="Calibri" w:hAnsi="Calibri" w:cs="Arial"/>
                <w:sz w:val="22"/>
                <w:szCs w:val="22"/>
              </w:rPr>
              <w:t>There are appropriate resources for all key stages</w:t>
            </w:r>
          </w:p>
          <w:p>
            <w:pPr>
              <w:numPr>
                <w:ilvl w:val="0"/>
                <w:numId w:val="25"/>
              </w:numPr>
              <w:rPr>
                <w:rFonts w:ascii="Calibri" w:hAnsi="Calibri" w:cs="Arial"/>
                <w:sz w:val="22"/>
                <w:szCs w:val="22"/>
              </w:rPr>
            </w:pPr>
            <w:r>
              <w:rPr>
                <w:rFonts w:ascii="Calibri" w:hAnsi="Calibri" w:cs="Arial"/>
                <w:sz w:val="22"/>
                <w:szCs w:val="22"/>
              </w:rPr>
              <w:t>Departmental capitation is used to support effective student progress</w:t>
            </w:r>
          </w:p>
          <w:p>
            <w:pPr>
              <w:ind w:left="1800"/>
              <w:rPr>
                <w:rFonts w:ascii="Calibri" w:hAnsi="Calibri" w:cs="Arial"/>
                <w:sz w:val="22"/>
                <w:szCs w:val="22"/>
              </w:rPr>
            </w:pPr>
          </w:p>
        </w:tc>
      </w:tr>
      <w:tr>
        <w:tc>
          <w:tcPr>
            <w:tcW w:w="2388" w:type="dxa"/>
            <w:shd w:val="clear" w:color="auto" w:fill="E6E6E6"/>
          </w:tcPr>
          <w:p>
            <w:pPr>
              <w:rPr>
                <w:rFonts w:ascii="Calibri" w:hAnsi="Calibri" w:cs="Calibri"/>
                <w:b/>
                <w:sz w:val="22"/>
                <w:szCs w:val="22"/>
              </w:rPr>
            </w:pPr>
            <w:r>
              <w:rPr>
                <w:rFonts w:ascii="Calibri" w:hAnsi="Calibri" w:cs="Calibri"/>
                <w:b/>
                <w:sz w:val="22"/>
                <w:szCs w:val="22"/>
              </w:rPr>
              <w:t>Performance &amp; Standards</w:t>
            </w:r>
          </w:p>
        </w:tc>
        <w:tc>
          <w:tcPr>
            <w:tcW w:w="8294" w:type="dxa"/>
            <w:shd w:val="clear" w:color="auto" w:fill="auto"/>
          </w:tcPr>
          <w:p>
            <w:pPr>
              <w:numPr>
                <w:ilvl w:val="0"/>
                <w:numId w:val="10"/>
              </w:numPr>
              <w:rPr>
                <w:rFonts w:ascii="Calibri" w:hAnsi="Calibri" w:cs="Calibri"/>
                <w:sz w:val="22"/>
                <w:szCs w:val="22"/>
              </w:rPr>
            </w:pPr>
            <w:r>
              <w:rPr>
                <w:rFonts w:ascii="Calibri" w:hAnsi="Calibri" w:cs="Calibri"/>
                <w:sz w:val="22"/>
                <w:szCs w:val="22"/>
              </w:rPr>
              <w:t>Monitor and evaluate the impact of CPD.</w:t>
            </w:r>
          </w:p>
        </w:tc>
      </w:tr>
      <w:tr>
        <w:tc>
          <w:tcPr>
            <w:tcW w:w="2388" w:type="dxa"/>
            <w:shd w:val="clear" w:color="auto" w:fill="E6E6E6"/>
          </w:tcPr>
          <w:p>
            <w:pPr>
              <w:rPr>
                <w:rFonts w:ascii="Calibri" w:hAnsi="Calibri" w:cs="Calibri"/>
                <w:b/>
                <w:sz w:val="22"/>
                <w:szCs w:val="22"/>
              </w:rPr>
            </w:pPr>
            <w:r>
              <w:rPr>
                <w:rFonts w:ascii="Calibri" w:hAnsi="Calibri" w:cs="Calibri"/>
                <w:b/>
                <w:sz w:val="22"/>
                <w:szCs w:val="22"/>
              </w:rPr>
              <w:t>General Duties</w:t>
            </w:r>
          </w:p>
        </w:tc>
        <w:tc>
          <w:tcPr>
            <w:tcW w:w="8294" w:type="dxa"/>
            <w:shd w:val="clear" w:color="auto" w:fill="auto"/>
          </w:tcPr>
          <w:p>
            <w:pPr>
              <w:numPr>
                <w:ilvl w:val="0"/>
                <w:numId w:val="12"/>
              </w:numPr>
              <w:tabs>
                <w:tab w:val="clear" w:pos="720"/>
                <w:tab w:val="num" w:pos="364"/>
              </w:tabs>
              <w:ind w:left="364"/>
              <w:rPr>
                <w:rFonts w:ascii="Calibri" w:hAnsi="Calibri" w:cs="Arial"/>
                <w:sz w:val="22"/>
                <w:szCs w:val="22"/>
              </w:rPr>
            </w:pPr>
            <w:r>
              <w:rPr>
                <w:rFonts w:ascii="Calibri" w:hAnsi="Calibri" w:cs="Arial"/>
                <w:sz w:val="22"/>
                <w:szCs w:val="22"/>
              </w:rPr>
              <w:t xml:space="preserve">To participate in the school’s </w:t>
            </w:r>
            <w:proofErr w:type="spellStart"/>
            <w:r>
              <w:rPr>
                <w:rFonts w:ascii="Calibri" w:hAnsi="Calibri" w:cs="Arial"/>
                <w:sz w:val="22"/>
                <w:szCs w:val="22"/>
              </w:rPr>
              <w:t>self evaluation</w:t>
            </w:r>
            <w:proofErr w:type="spellEnd"/>
            <w:r>
              <w:rPr>
                <w:rFonts w:ascii="Calibri" w:hAnsi="Calibri" w:cs="Arial"/>
                <w:sz w:val="22"/>
                <w:szCs w:val="22"/>
              </w:rPr>
              <w:t xml:space="preserve"> cycle</w:t>
            </w:r>
          </w:p>
          <w:p>
            <w:pPr>
              <w:numPr>
                <w:ilvl w:val="0"/>
                <w:numId w:val="12"/>
              </w:numPr>
              <w:tabs>
                <w:tab w:val="clear" w:pos="720"/>
                <w:tab w:val="num" w:pos="364"/>
              </w:tabs>
              <w:ind w:left="364"/>
              <w:rPr>
                <w:rFonts w:ascii="Calibri" w:hAnsi="Calibri" w:cs="Arial"/>
                <w:sz w:val="22"/>
                <w:szCs w:val="22"/>
              </w:rPr>
            </w:pPr>
            <w:r>
              <w:rPr>
                <w:rFonts w:ascii="Calibri" w:hAnsi="Calibri" w:cs="Arial"/>
                <w:sz w:val="22"/>
                <w:szCs w:val="22"/>
              </w:rPr>
              <w:t>To undertake the duties as a form teacher</w:t>
            </w:r>
          </w:p>
          <w:p>
            <w:pPr>
              <w:numPr>
                <w:ilvl w:val="0"/>
                <w:numId w:val="12"/>
              </w:numPr>
              <w:tabs>
                <w:tab w:val="clear" w:pos="720"/>
                <w:tab w:val="num" w:pos="364"/>
              </w:tabs>
              <w:ind w:left="364"/>
              <w:rPr>
                <w:rFonts w:ascii="Calibri" w:hAnsi="Calibri" w:cs="Arial"/>
                <w:sz w:val="22"/>
                <w:szCs w:val="22"/>
              </w:rPr>
            </w:pPr>
            <w:r>
              <w:rPr>
                <w:rFonts w:ascii="Calibri" w:hAnsi="Calibri" w:cs="Arial"/>
                <w:sz w:val="22"/>
                <w:szCs w:val="22"/>
              </w:rPr>
              <w:t>To liaise with other departments, parents and agencies to meet the individual needs of students</w:t>
            </w:r>
          </w:p>
          <w:p>
            <w:pPr>
              <w:numPr>
                <w:ilvl w:val="0"/>
                <w:numId w:val="12"/>
              </w:numPr>
              <w:tabs>
                <w:tab w:val="clear" w:pos="720"/>
                <w:tab w:val="num" w:pos="364"/>
              </w:tabs>
              <w:ind w:left="364"/>
              <w:rPr>
                <w:rFonts w:ascii="Calibri" w:hAnsi="Calibri" w:cs="Arial"/>
                <w:sz w:val="22"/>
                <w:szCs w:val="22"/>
              </w:rPr>
            </w:pPr>
            <w:r>
              <w:rPr>
                <w:rFonts w:ascii="Calibri" w:hAnsi="Calibri" w:cs="Arial"/>
                <w:sz w:val="22"/>
                <w:szCs w:val="22"/>
              </w:rPr>
              <w:t>To attend departmental, form tutor or any other meetings as required</w:t>
            </w:r>
          </w:p>
          <w:p>
            <w:pPr>
              <w:numPr>
                <w:ilvl w:val="0"/>
                <w:numId w:val="12"/>
              </w:numPr>
              <w:tabs>
                <w:tab w:val="clear" w:pos="720"/>
                <w:tab w:val="num" w:pos="364"/>
              </w:tabs>
              <w:ind w:left="364"/>
              <w:rPr>
                <w:rFonts w:ascii="Calibri" w:hAnsi="Calibri" w:cs="Arial"/>
                <w:sz w:val="22"/>
                <w:szCs w:val="22"/>
              </w:rPr>
            </w:pPr>
            <w:r>
              <w:rPr>
                <w:rFonts w:ascii="Calibri" w:hAnsi="Calibri" w:cs="Arial"/>
                <w:sz w:val="22"/>
                <w:szCs w:val="22"/>
              </w:rPr>
              <w:t>To carry out a share of the supervisory duties in accordance with published rotas</w:t>
            </w:r>
          </w:p>
          <w:p>
            <w:pPr>
              <w:numPr>
                <w:ilvl w:val="0"/>
                <w:numId w:val="12"/>
              </w:numPr>
              <w:tabs>
                <w:tab w:val="clear" w:pos="720"/>
                <w:tab w:val="num" w:pos="364"/>
              </w:tabs>
              <w:ind w:left="364"/>
              <w:rPr>
                <w:rFonts w:ascii="Calibri" w:hAnsi="Calibri" w:cs="Arial"/>
                <w:sz w:val="22"/>
                <w:szCs w:val="22"/>
              </w:rPr>
            </w:pPr>
            <w:r>
              <w:rPr>
                <w:rFonts w:ascii="Calibri" w:hAnsi="Calibri" w:cs="Arial"/>
                <w:sz w:val="22"/>
                <w:szCs w:val="22"/>
              </w:rPr>
              <w:t>Contribute to the future development of the department, its resources and its teaching materials</w:t>
            </w:r>
          </w:p>
          <w:p>
            <w:pPr>
              <w:numPr>
                <w:ilvl w:val="0"/>
                <w:numId w:val="12"/>
              </w:numPr>
              <w:tabs>
                <w:tab w:val="clear" w:pos="720"/>
                <w:tab w:val="num" w:pos="364"/>
              </w:tabs>
              <w:ind w:left="364"/>
              <w:rPr>
                <w:rFonts w:ascii="Calibri" w:hAnsi="Calibri" w:cs="Arial"/>
                <w:sz w:val="22"/>
                <w:szCs w:val="22"/>
              </w:rPr>
            </w:pPr>
            <w:r>
              <w:rPr>
                <w:rFonts w:ascii="Calibri" w:hAnsi="Calibri" w:cs="Arial"/>
                <w:sz w:val="22"/>
                <w:szCs w:val="22"/>
              </w:rPr>
              <w:t xml:space="preserve">To attend Parents’ Evenings, Open Evening and other specific events. </w:t>
            </w:r>
          </w:p>
          <w:p>
            <w:pPr>
              <w:numPr>
                <w:ilvl w:val="0"/>
                <w:numId w:val="12"/>
              </w:numPr>
              <w:tabs>
                <w:tab w:val="clear" w:pos="720"/>
                <w:tab w:val="num" w:pos="364"/>
              </w:tabs>
              <w:ind w:left="364"/>
              <w:rPr>
                <w:rFonts w:ascii="Calibri" w:hAnsi="Calibri" w:cs="Arial"/>
                <w:sz w:val="22"/>
                <w:szCs w:val="22"/>
              </w:rPr>
            </w:pPr>
            <w:r>
              <w:rPr>
                <w:rFonts w:ascii="Calibri" w:hAnsi="Calibri" w:cs="Arial"/>
                <w:sz w:val="22"/>
                <w:szCs w:val="22"/>
              </w:rPr>
              <w:t xml:space="preserve">To make a positive contribution to the wider aspects of the school. </w:t>
            </w:r>
          </w:p>
          <w:p>
            <w:pPr>
              <w:numPr>
                <w:ilvl w:val="0"/>
                <w:numId w:val="12"/>
              </w:numPr>
              <w:tabs>
                <w:tab w:val="clear" w:pos="720"/>
                <w:tab w:val="num" w:pos="364"/>
              </w:tabs>
              <w:ind w:left="364"/>
              <w:rPr>
                <w:rFonts w:ascii="Calibri" w:hAnsi="Calibri" w:cs="Arial"/>
                <w:sz w:val="22"/>
                <w:szCs w:val="22"/>
              </w:rPr>
            </w:pPr>
            <w:r>
              <w:rPr>
                <w:rFonts w:ascii="Calibri" w:hAnsi="Calibri" w:cs="Arial"/>
                <w:sz w:val="22"/>
                <w:szCs w:val="22"/>
              </w:rPr>
              <w:lastRenderedPageBreak/>
              <w:t>To assist in the promotion of the good name of the school within the community</w:t>
            </w:r>
          </w:p>
          <w:p>
            <w:pPr>
              <w:numPr>
                <w:ilvl w:val="0"/>
                <w:numId w:val="12"/>
              </w:numPr>
              <w:tabs>
                <w:tab w:val="clear" w:pos="720"/>
                <w:tab w:val="num" w:pos="364"/>
              </w:tabs>
              <w:ind w:left="364"/>
              <w:rPr>
                <w:rFonts w:ascii="Calibri" w:hAnsi="Calibri" w:cs="Arial"/>
                <w:sz w:val="22"/>
                <w:szCs w:val="22"/>
              </w:rPr>
            </w:pPr>
            <w:r>
              <w:rPr>
                <w:rFonts w:ascii="Calibri" w:hAnsi="Calibri" w:cs="Arial"/>
                <w:sz w:val="22"/>
                <w:szCs w:val="22"/>
              </w:rPr>
              <w:t>To undertake any other duty as specified by STPCD not mentioned in the above.</w:t>
            </w:r>
          </w:p>
          <w:p>
            <w:pPr>
              <w:numPr>
                <w:ilvl w:val="0"/>
                <w:numId w:val="12"/>
              </w:numPr>
              <w:tabs>
                <w:tab w:val="clear" w:pos="720"/>
                <w:tab w:val="num" w:pos="364"/>
              </w:tabs>
              <w:ind w:left="364"/>
              <w:rPr>
                <w:rFonts w:ascii="Calibri" w:hAnsi="Calibri" w:cs="Arial"/>
                <w:sz w:val="22"/>
                <w:szCs w:val="22"/>
              </w:rPr>
            </w:pPr>
            <w:r>
              <w:rPr>
                <w:rFonts w:ascii="Calibri" w:hAnsi="Calibri" w:cs="Arial"/>
                <w:sz w:val="22"/>
                <w:szCs w:val="22"/>
              </w:rPr>
              <w:t>To comply with the requirements of Health and Safety Legislation and School Policy taking appropriate action where necessary.</w:t>
            </w:r>
          </w:p>
        </w:tc>
      </w:tr>
      <w:tr>
        <w:tc>
          <w:tcPr>
            <w:tcW w:w="10682" w:type="dxa"/>
            <w:gridSpan w:val="2"/>
            <w:shd w:val="clear" w:color="auto" w:fill="auto"/>
          </w:tcPr>
          <w:p>
            <w:pPr>
              <w:jc w:val="both"/>
              <w:rPr>
                <w:rFonts w:ascii="Calibri Light" w:hAnsi="Calibri Light" w:cs="Arial"/>
                <w:sz w:val="20"/>
                <w:szCs w:val="20"/>
              </w:rPr>
            </w:pPr>
            <w:r>
              <w:rPr>
                <w:rFonts w:ascii="Calibri Light" w:hAnsi="Calibri Light" w:cs="Arial"/>
                <w:sz w:val="20"/>
                <w:szCs w:val="20"/>
              </w:rPr>
              <w:lastRenderedPageBreak/>
              <w:t>Whilst every effort has been made to explain the main duties and responsibilities of the post, each individual task may not be identified.</w:t>
            </w:r>
          </w:p>
          <w:p>
            <w:pPr>
              <w:jc w:val="both"/>
              <w:rPr>
                <w:rFonts w:ascii="Calibri Light" w:hAnsi="Calibri Light" w:cs="Arial"/>
                <w:sz w:val="20"/>
                <w:szCs w:val="20"/>
              </w:rPr>
            </w:pPr>
          </w:p>
          <w:p>
            <w:pPr>
              <w:jc w:val="both"/>
              <w:rPr>
                <w:rFonts w:ascii="Calibri Light" w:hAnsi="Calibri Light" w:cs="Arial"/>
                <w:sz w:val="20"/>
                <w:szCs w:val="20"/>
              </w:rPr>
            </w:pPr>
            <w:r>
              <w:rPr>
                <w:rFonts w:ascii="Calibri Light" w:hAnsi="Calibri Light" w:cs="Arial"/>
                <w:sz w:val="20"/>
                <w:szCs w:val="20"/>
              </w:rPr>
              <w:t>This job description details duties and responsibilities but does not indicate the amount of time to be spent carrying them out.  No part of it may be so construed.  In allocating time to the performance of duties and responsibilities, the post holder must use directed time in accordance with the school’s policy as published in the Staff Handbook and having regard to the School Teachers’ Pay and Conditions Document.</w:t>
            </w:r>
          </w:p>
          <w:p>
            <w:pPr>
              <w:jc w:val="both"/>
              <w:rPr>
                <w:rFonts w:ascii="Calibri Light" w:hAnsi="Calibri Light" w:cs="Arial"/>
                <w:sz w:val="20"/>
                <w:szCs w:val="20"/>
              </w:rPr>
            </w:pPr>
          </w:p>
          <w:p>
            <w:pPr>
              <w:jc w:val="both"/>
              <w:rPr>
                <w:rFonts w:ascii="Calibri Light" w:hAnsi="Calibri Light" w:cs="Arial"/>
                <w:sz w:val="20"/>
                <w:szCs w:val="20"/>
              </w:rPr>
            </w:pPr>
            <w:r>
              <w:rPr>
                <w:rFonts w:ascii="Calibri Light" w:hAnsi="Calibri Light" w:cs="Arial"/>
                <w:sz w:val="20"/>
                <w:szCs w:val="20"/>
              </w:rPr>
              <w:t xml:space="preserve">This job description is current at the date shown, but, in consultation with the post holder, may be changed by the </w:t>
            </w:r>
            <w:proofErr w:type="spellStart"/>
            <w:r>
              <w:rPr>
                <w:rFonts w:ascii="Calibri Light" w:hAnsi="Calibri Light" w:cs="Arial"/>
                <w:sz w:val="20"/>
                <w:szCs w:val="20"/>
              </w:rPr>
              <w:t>Headteacher</w:t>
            </w:r>
            <w:proofErr w:type="spellEnd"/>
            <w:r>
              <w:rPr>
                <w:rFonts w:ascii="Calibri Light" w:hAnsi="Calibri Light" w:cs="Arial"/>
                <w:sz w:val="20"/>
                <w:szCs w:val="20"/>
              </w:rPr>
              <w:t xml:space="preserve"> to reflect or anticipate changes in the job commensurate with the grade and job title.</w:t>
            </w:r>
          </w:p>
          <w:p>
            <w:pPr>
              <w:jc w:val="both"/>
              <w:rPr>
                <w:rFonts w:ascii="Calibri Light" w:hAnsi="Calibri Light" w:cs="Arial"/>
                <w:sz w:val="20"/>
                <w:szCs w:val="20"/>
              </w:rPr>
            </w:pPr>
          </w:p>
          <w:p>
            <w:pPr>
              <w:jc w:val="both"/>
              <w:rPr>
                <w:rFonts w:ascii="Calibri Light" w:hAnsi="Calibri Light" w:cs="Arial"/>
                <w:sz w:val="20"/>
                <w:szCs w:val="20"/>
              </w:rPr>
            </w:pPr>
            <w:r>
              <w:rPr>
                <w:rFonts w:ascii="Calibri Light" w:hAnsi="Calibri Light" w:cs="Arial"/>
                <w:sz w:val="20"/>
                <w:szCs w:val="20"/>
              </w:rPr>
              <w:t>January 2018</w:t>
            </w:r>
          </w:p>
          <w:p>
            <w:pPr>
              <w:rPr>
                <w:rFonts w:ascii="Calibri" w:hAnsi="Calibri" w:cs="Calibri"/>
                <w:sz w:val="22"/>
                <w:szCs w:val="22"/>
              </w:rPr>
            </w:pPr>
          </w:p>
        </w:tc>
      </w:tr>
    </w:tbl>
    <w:p/>
    <w:p/>
    <w:p/>
    <w:p/>
    <w:sectPr>
      <w:footerReference w:type="default" r:id="rId10"/>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9EB"/>
    <w:multiLevelType w:val="hybridMultilevel"/>
    <w:tmpl w:val="3DBE0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2D2B67"/>
    <w:multiLevelType w:val="hybridMultilevel"/>
    <w:tmpl w:val="DA64D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B3A7D"/>
    <w:multiLevelType w:val="hybridMultilevel"/>
    <w:tmpl w:val="1F4A9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CD57371"/>
    <w:multiLevelType w:val="hybridMultilevel"/>
    <w:tmpl w:val="5446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C0374E"/>
    <w:multiLevelType w:val="hybridMultilevel"/>
    <w:tmpl w:val="F0E64040"/>
    <w:lvl w:ilvl="0" w:tplc="08090001">
      <w:start w:val="1"/>
      <w:numFmt w:val="bullet"/>
      <w:lvlText w:val=""/>
      <w:lvlJc w:val="left"/>
      <w:pPr>
        <w:ind w:left="1022" w:hanging="360"/>
      </w:pPr>
      <w:rPr>
        <w:rFonts w:ascii="Symbol" w:hAnsi="Symbol" w:hint="default"/>
      </w:rPr>
    </w:lvl>
    <w:lvl w:ilvl="1" w:tplc="08090003" w:tentative="1">
      <w:start w:val="1"/>
      <w:numFmt w:val="bullet"/>
      <w:lvlText w:val="o"/>
      <w:lvlJc w:val="left"/>
      <w:pPr>
        <w:ind w:left="1742" w:hanging="360"/>
      </w:pPr>
      <w:rPr>
        <w:rFonts w:ascii="Courier New" w:hAnsi="Courier New" w:cs="Courier New" w:hint="default"/>
      </w:rPr>
    </w:lvl>
    <w:lvl w:ilvl="2" w:tplc="08090005" w:tentative="1">
      <w:start w:val="1"/>
      <w:numFmt w:val="bullet"/>
      <w:lvlText w:val=""/>
      <w:lvlJc w:val="left"/>
      <w:pPr>
        <w:ind w:left="2462" w:hanging="360"/>
      </w:pPr>
      <w:rPr>
        <w:rFonts w:ascii="Wingdings" w:hAnsi="Wingdings" w:hint="default"/>
      </w:rPr>
    </w:lvl>
    <w:lvl w:ilvl="3" w:tplc="08090001" w:tentative="1">
      <w:start w:val="1"/>
      <w:numFmt w:val="bullet"/>
      <w:lvlText w:val=""/>
      <w:lvlJc w:val="left"/>
      <w:pPr>
        <w:ind w:left="3182" w:hanging="360"/>
      </w:pPr>
      <w:rPr>
        <w:rFonts w:ascii="Symbol" w:hAnsi="Symbol" w:hint="default"/>
      </w:rPr>
    </w:lvl>
    <w:lvl w:ilvl="4" w:tplc="08090003" w:tentative="1">
      <w:start w:val="1"/>
      <w:numFmt w:val="bullet"/>
      <w:lvlText w:val="o"/>
      <w:lvlJc w:val="left"/>
      <w:pPr>
        <w:ind w:left="3902" w:hanging="360"/>
      </w:pPr>
      <w:rPr>
        <w:rFonts w:ascii="Courier New" w:hAnsi="Courier New" w:cs="Courier New" w:hint="default"/>
      </w:rPr>
    </w:lvl>
    <w:lvl w:ilvl="5" w:tplc="08090005" w:tentative="1">
      <w:start w:val="1"/>
      <w:numFmt w:val="bullet"/>
      <w:lvlText w:val=""/>
      <w:lvlJc w:val="left"/>
      <w:pPr>
        <w:ind w:left="4622" w:hanging="360"/>
      </w:pPr>
      <w:rPr>
        <w:rFonts w:ascii="Wingdings" w:hAnsi="Wingdings" w:hint="default"/>
      </w:rPr>
    </w:lvl>
    <w:lvl w:ilvl="6" w:tplc="08090001" w:tentative="1">
      <w:start w:val="1"/>
      <w:numFmt w:val="bullet"/>
      <w:lvlText w:val=""/>
      <w:lvlJc w:val="left"/>
      <w:pPr>
        <w:ind w:left="5342" w:hanging="360"/>
      </w:pPr>
      <w:rPr>
        <w:rFonts w:ascii="Symbol" w:hAnsi="Symbol" w:hint="default"/>
      </w:rPr>
    </w:lvl>
    <w:lvl w:ilvl="7" w:tplc="08090003" w:tentative="1">
      <w:start w:val="1"/>
      <w:numFmt w:val="bullet"/>
      <w:lvlText w:val="o"/>
      <w:lvlJc w:val="left"/>
      <w:pPr>
        <w:ind w:left="6062" w:hanging="360"/>
      </w:pPr>
      <w:rPr>
        <w:rFonts w:ascii="Courier New" w:hAnsi="Courier New" w:cs="Courier New" w:hint="default"/>
      </w:rPr>
    </w:lvl>
    <w:lvl w:ilvl="8" w:tplc="08090005" w:tentative="1">
      <w:start w:val="1"/>
      <w:numFmt w:val="bullet"/>
      <w:lvlText w:val=""/>
      <w:lvlJc w:val="left"/>
      <w:pPr>
        <w:ind w:left="6782" w:hanging="360"/>
      </w:pPr>
      <w:rPr>
        <w:rFonts w:ascii="Wingdings" w:hAnsi="Wingdings" w:hint="default"/>
      </w:rPr>
    </w:lvl>
  </w:abstractNum>
  <w:abstractNum w:abstractNumId="5">
    <w:nsid w:val="1E002DC1"/>
    <w:multiLevelType w:val="hybridMultilevel"/>
    <w:tmpl w:val="D98A0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F9850E8"/>
    <w:multiLevelType w:val="hybridMultilevel"/>
    <w:tmpl w:val="AF060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AA6F55"/>
    <w:multiLevelType w:val="hybridMultilevel"/>
    <w:tmpl w:val="612A1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0A61E69"/>
    <w:multiLevelType w:val="hybridMultilevel"/>
    <w:tmpl w:val="D0FAA8C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05559C"/>
    <w:multiLevelType w:val="hybridMultilevel"/>
    <w:tmpl w:val="0A2454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34932B42"/>
    <w:multiLevelType w:val="hybridMultilevel"/>
    <w:tmpl w:val="9670B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660F15"/>
    <w:multiLevelType w:val="hybridMultilevel"/>
    <w:tmpl w:val="721AE3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0A069B6"/>
    <w:multiLevelType w:val="hybridMultilevel"/>
    <w:tmpl w:val="693A4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6C39E3"/>
    <w:multiLevelType w:val="hybridMultilevel"/>
    <w:tmpl w:val="E2C65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B6F26BE"/>
    <w:multiLevelType w:val="hybridMultilevel"/>
    <w:tmpl w:val="E00E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82729AA"/>
    <w:multiLevelType w:val="hybridMultilevel"/>
    <w:tmpl w:val="29FE5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90857A9"/>
    <w:multiLevelType w:val="multilevel"/>
    <w:tmpl w:val="49DABC6A"/>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FEF16EE"/>
    <w:multiLevelType w:val="hybridMultilevel"/>
    <w:tmpl w:val="10C0ED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0E4527F"/>
    <w:multiLevelType w:val="hybridMultilevel"/>
    <w:tmpl w:val="35B48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3B906ED"/>
    <w:multiLevelType w:val="hybridMultilevel"/>
    <w:tmpl w:val="B498B33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CC1B18"/>
    <w:multiLevelType w:val="hybridMultilevel"/>
    <w:tmpl w:val="2872E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C912CD"/>
    <w:multiLevelType w:val="hybridMultilevel"/>
    <w:tmpl w:val="821E38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B15E7E"/>
    <w:multiLevelType w:val="hybridMultilevel"/>
    <w:tmpl w:val="7D189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C6754F0"/>
    <w:multiLevelType w:val="multilevel"/>
    <w:tmpl w:val="60808D8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C731942"/>
    <w:multiLevelType w:val="hybridMultilevel"/>
    <w:tmpl w:val="5C686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0"/>
  </w:num>
  <w:num w:numId="3">
    <w:abstractNumId w:val="13"/>
  </w:num>
  <w:num w:numId="4">
    <w:abstractNumId w:val="11"/>
  </w:num>
  <w:num w:numId="5">
    <w:abstractNumId w:val="15"/>
  </w:num>
  <w:num w:numId="6">
    <w:abstractNumId w:val="4"/>
  </w:num>
  <w:num w:numId="7">
    <w:abstractNumId w:val="3"/>
  </w:num>
  <w:num w:numId="8">
    <w:abstractNumId w:val="7"/>
  </w:num>
  <w:num w:numId="9">
    <w:abstractNumId w:val="14"/>
  </w:num>
  <w:num w:numId="10">
    <w:abstractNumId w:val="18"/>
  </w:num>
  <w:num w:numId="11">
    <w:abstractNumId w:val="2"/>
  </w:num>
  <w:num w:numId="12">
    <w:abstractNumId w:val="17"/>
  </w:num>
  <w:num w:numId="13">
    <w:abstractNumId w:val="24"/>
  </w:num>
  <w:num w:numId="14">
    <w:abstractNumId w:val="22"/>
  </w:num>
  <w:num w:numId="15">
    <w:abstractNumId w:val="16"/>
  </w:num>
  <w:num w:numId="16">
    <w:abstractNumId w:val="6"/>
  </w:num>
  <w:num w:numId="17">
    <w:abstractNumId w:val="20"/>
  </w:num>
  <w:num w:numId="18">
    <w:abstractNumId w:val="8"/>
  </w:num>
  <w:num w:numId="19">
    <w:abstractNumId w:val="19"/>
  </w:num>
  <w:num w:numId="20">
    <w:abstractNumId w:val="9"/>
  </w:num>
  <w:num w:numId="21">
    <w:abstractNumId w:val="1"/>
  </w:num>
  <w:num w:numId="22">
    <w:abstractNumId w:val="12"/>
  </w:num>
  <w:num w:numId="23">
    <w:abstractNumId w:val="5"/>
  </w:num>
  <w:num w:numId="24">
    <w:abstractNumId w:val="1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sz w:val="16"/>
      <w:szCs w:val="16"/>
      <w:lang w:val="x-none"/>
    </w:rPr>
  </w:style>
  <w:style w:type="character" w:customStyle="1" w:styleId="BalloonTextChar">
    <w:name w:val="Balloon Text Char"/>
    <w:link w:val="BalloonText"/>
    <w:rPr>
      <w:rFonts w:ascii="Tahoma" w:hAnsi="Tahoma" w:cs="Tahoma"/>
      <w:sz w:val="16"/>
      <w:szCs w:val="16"/>
      <w:lang w:eastAsia="en-US"/>
    </w:rPr>
  </w:style>
  <w:style w:type="paragraph" w:styleId="ListParagraph">
    <w:name w:val="List Paragraph"/>
    <w:basedOn w:val="Normal"/>
    <w:uiPriority w:val="34"/>
    <w:qFormat/>
    <w:pPr>
      <w:ind w:left="720"/>
      <w:contextualSpacing/>
    </w:pPr>
    <w:rPr>
      <w:lang w:eastAsia="en-GB"/>
    </w:rPr>
  </w:style>
  <w:style w:type="character" w:customStyle="1" w:styleId="main">
    <w:name w:val="main"/>
  </w:style>
  <w:style w:type="paragraph" w:styleId="BodyText">
    <w:name w:val="Body Text"/>
    <w:basedOn w:val="Normal"/>
    <w:link w:val="BodyTextChar"/>
    <w:pPr>
      <w:spacing w:after="220" w:line="180" w:lineRule="atLeast"/>
      <w:ind w:left="835"/>
      <w:jc w:val="both"/>
    </w:pPr>
    <w:rPr>
      <w:rFonts w:ascii="Arial" w:hAnsi="Arial"/>
      <w:spacing w:val="-5"/>
      <w:sz w:val="20"/>
      <w:szCs w:val="20"/>
    </w:rPr>
  </w:style>
  <w:style w:type="character" w:customStyle="1" w:styleId="BodyTextChar">
    <w:name w:val="Body Text Char"/>
    <w:link w:val="BodyText"/>
    <w:rPr>
      <w:rFonts w:ascii="Arial" w:hAnsi="Arial"/>
      <w:spacing w:val="-5"/>
      <w:lang w:eastAsia="en-US"/>
    </w:rPr>
  </w:style>
  <w:style w:type="paragraph" w:styleId="NoSpacing">
    <w:name w:val="No Spacing"/>
    <w:link w:val="NoSpacingChar"/>
    <w:uiPriority w:val="1"/>
    <w:qFormat/>
    <w:rPr>
      <w:rFonts w:ascii="Calibri" w:hAnsi="Calibri"/>
      <w:sz w:val="17"/>
      <w:szCs w:val="17"/>
      <w:lang w:val="en-US" w:eastAsia="ja-JP"/>
    </w:rPr>
  </w:style>
  <w:style w:type="character" w:customStyle="1" w:styleId="NoSpacingChar">
    <w:name w:val="No Spacing Char"/>
    <w:link w:val="NoSpacing"/>
    <w:uiPriority w:val="1"/>
    <w:rPr>
      <w:rFonts w:ascii="Calibri" w:hAnsi="Calibri"/>
      <w:sz w:val="17"/>
      <w:szCs w:val="17"/>
      <w:lang w:val="en-US"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sz w:val="16"/>
      <w:szCs w:val="16"/>
      <w:lang w:val="x-none"/>
    </w:rPr>
  </w:style>
  <w:style w:type="character" w:customStyle="1" w:styleId="BalloonTextChar">
    <w:name w:val="Balloon Text Char"/>
    <w:link w:val="BalloonText"/>
    <w:rPr>
      <w:rFonts w:ascii="Tahoma" w:hAnsi="Tahoma" w:cs="Tahoma"/>
      <w:sz w:val="16"/>
      <w:szCs w:val="16"/>
      <w:lang w:eastAsia="en-US"/>
    </w:rPr>
  </w:style>
  <w:style w:type="paragraph" w:styleId="ListParagraph">
    <w:name w:val="List Paragraph"/>
    <w:basedOn w:val="Normal"/>
    <w:uiPriority w:val="34"/>
    <w:qFormat/>
    <w:pPr>
      <w:ind w:left="720"/>
      <w:contextualSpacing/>
    </w:pPr>
    <w:rPr>
      <w:lang w:eastAsia="en-GB"/>
    </w:rPr>
  </w:style>
  <w:style w:type="character" w:customStyle="1" w:styleId="main">
    <w:name w:val="main"/>
  </w:style>
  <w:style w:type="paragraph" w:styleId="BodyText">
    <w:name w:val="Body Text"/>
    <w:basedOn w:val="Normal"/>
    <w:link w:val="BodyTextChar"/>
    <w:pPr>
      <w:spacing w:after="220" w:line="180" w:lineRule="atLeast"/>
      <w:ind w:left="835"/>
      <w:jc w:val="both"/>
    </w:pPr>
    <w:rPr>
      <w:rFonts w:ascii="Arial" w:hAnsi="Arial"/>
      <w:spacing w:val="-5"/>
      <w:sz w:val="20"/>
      <w:szCs w:val="20"/>
    </w:rPr>
  </w:style>
  <w:style w:type="character" w:customStyle="1" w:styleId="BodyTextChar">
    <w:name w:val="Body Text Char"/>
    <w:link w:val="BodyText"/>
    <w:rPr>
      <w:rFonts w:ascii="Arial" w:hAnsi="Arial"/>
      <w:spacing w:val="-5"/>
      <w:lang w:eastAsia="en-US"/>
    </w:rPr>
  </w:style>
  <w:style w:type="paragraph" w:styleId="NoSpacing">
    <w:name w:val="No Spacing"/>
    <w:link w:val="NoSpacingChar"/>
    <w:uiPriority w:val="1"/>
    <w:qFormat/>
    <w:rPr>
      <w:rFonts w:ascii="Calibri" w:hAnsi="Calibri"/>
      <w:sz w:val="17"/>
      <w:szCs w:val="17"/>
      <w:lang w:val="en-US" w:eastAsia="ja-JP"/>
    </w:rPr>
  </w:style>
  <w:style w:type="character" w:customStyle="1" w:styleId="NoSpacingChar">
    <w:name w:val="No Spacing Char"/>
    <w:link w:val="NoSpacing"/>
    <w:uiPriority w:val="1"/>
    <w:rPr>
      <w:rFonts w:ascii="Calibri" w:hAnsi="Calibri"/>
      <w:sz w:val="17"/>
      <w:szCs w:val="17"/>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1FD06-2C58-4541-ABD8-8092F3336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616E8A8</Template>
  <TotalTime>1</TotalTime>
  <Pages>4</Pages>
  <Words>1038</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Swanlea School, Business &amp; Enterprise College</vt:lpstr>
    </vt:vector>
  </TitlesOfParts>
  <Company>Swanlea School</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Swanlea School, Business &amp; Enterprise College</dc:title>
  <dc:creator>rose</dc:creator>
  <cp:lastModifiedBy>T.Leech</cp:lastModifiedBy>
  <cp:revision>3</cp:revision>
  <cp:lastPrinted>2018-01-22T16:02:00Z</cp:lastPrinted>
  <dcterms:created xsi:type="dcterms:W3CDTF">2018-01-24T13:20:00Z</dcterms:created>
  <dcterms:modified xsi:type="dcterms:W3CDTF">2018-01-25T11:59:00Z</dcterms:modified>
</cp:coreProperties>
</file>