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47" w:rsidRPr="00984333" w:rsidRDefault="00420847" w:rsidP="00420847">
      <w:pPr>
        <w:pStyle w:val="NoSpacing"/>
        <w:jc w:val="center"/>
        <w:rPr>
          <w:rFonts w:ascii="Arial" w:hAnsi="Arial" w:cs="Arial"/>
          <w:b/>
          <w:sz w:val="24"/>
          <w:szCs w:val="24"/>
        </w:rPr>
      </w:pPr>
      <w:r>
        <w:rPr>
          <w:rFonts w:ascii="Arial" w:hAnsi="Arial" w:cs="Arial"/>
          <w:b/>
          <w:sz w:val="24"/>
          <w:szCs w:val="24"/>
        </w:rPr>
        <w:t>PERSON SPECIFICATION</w:t>
      </w:r>
    </w:p>
    <w:p w:rsidR="00420847" w:rsidRDefault="00420847" w:rsidP="00420847">
      <w:pPr>
        <w:pStyle w:val="NoSpacing"/>
        <w:jc w:val="both"/>
        <w:rPr>
          <w:rFonts w:cs="Arial"/>
          <w:sz w:val="24"/>
          <w:szCs w:val="24"/>
        </w:rPr>
      </w:pPr>
    </w:p>
    <w:p w:rsidR="00420847" w:rsidRPr="00C451D5" w:rsidRDefault="00420847" w:rsidP="00420847">
      <w:pPr>
        <w:contextualSpacing/>
        <w:rPr>
          <w:rFonts w:cs="Arial"/>
        </w:rPr>
      </w:pPr>
      <w:r w:rsidRPr="00C451D5">
        <w:rPr>
          <w:rFonts w:cs="Arial"/>
        </w:rPr>
        <w:t xml:space="preserve">At Boston </w:t>
      </w:r>
      <w:proofErr w:type="gramStart"/>
      <w:r w:rsidRPr="00C451D5">
        <w:rPr>
          <w:rFonts w:cs="Arial"/>
        </w:rPr>
        <w:t>Spa</w:t>
      </w:r>
      <w:proofErr w:type="gramEnd"/>
      <w:r w:rsidRPr="00C451D5">
        <w:rPr>
          <w:rFonts w:cs="Arial"/>
        </w:rPr>
        <w:t xml:space="preserve"> we hold three ambitions for our young people - that when they leave us they will:</w:t>
      </w:r>
    </w:p>
    <w:p w:rsidR="00420847" w:rsidRPr="00C451D5" w:rsidRDefault="00420847" w:rsidP="00420847">
      <w:pPr>
        <w:rPr>
          <w:rFonts w:cs="Arial"/>
        </w:rPr>
      </w:pPr>
    </w:p>
    <w:p w:rsidR="00420847" w:rsidRPr="00C451D5" w:rsidRDefault="00420847" w:rsidP="00420847">
      <w:pPr>
        <w:numPr>
          <w:ilvl w:val="0"/>
          <w:numId w:val="7"/>
        </w:numPr>
        <w:jc w:val="left"/>
        <w:rPr>
          <w:rFonts w:cs="Arial"/>
          <w:color w:val="000000"/>
        </w:rPr>
      </w:pPr>
      <w:r w:rsidRPr="00C451D5">
        <w:rPr>
          <w:rFonts w:cs="Arial"/>
          <w:color w:val="000000"/>
        </w:rPr>
        <w:t xml:space="preserve">Have academic success, achieving a set of qualifications that matches or exceeds that which they would have achieved in any other school. </w:t>
      </w:r>
    </w:p>
    <w:p w:rsidR="00420847" w:rsidRPr="00C451D5" w:rsidRDefault="00420847" w:rsidP="00420847">
      <w:pPr>
        <w:rPr>
          <w:rFonts w:cs="Arial"/>
          <w:color w:val="000000"/>
        </w:rPr>
      </w:pPr>
    </w:p>
    <w:p w:rsidR="00420847" w:rsidRPr="00C451D5" w:rsidRDefault="00420847" w:rsidP="00420847">
      <w:pPr>
        <w:numPr>
          <w:ilvl w:val="0"/>
          <w:numId w:val="7"/>
        </w:numPr>
        <w:jc w:val="left"/>
        <w:rPr>
          <w:rFonts w:cs="Arial"/>
          <w:color w:val="000000"/>
        </w:rPr>
      </w:pPr>
      <w:r w:rsidRPr="00C451D5">
        <w:rPr>
          <w:rFonts w:cs="Arial"/>
          <w:color w:val="000000"/>
        </w:rPr>
        <w:t>Possess a moral framework, to be young people with who understand right from wrong, and are equipped with the skills to make difficult moral decisions when their friends are making the wrong choices.</w:t>
      </w:r>
    </w:p>
    <w:p w:rsidR="00420847" w:rsidRPr="00C451D5" w:rsidRDefault="00420847" w:rsidP="00420847">
      <w:pPr>
        <w:rPr>
          <w:rFonts w:cs="Arial"/>
          <w:color w:val="000000"/>
        </w:rPr>
      </w:pPr>
    </w:p>
    <w:p w:rsidR="00420847" w:rsidRPr="00C451D5" w:rsidRDefault="00420847" w:rsidP="00420847">
      <w:pPr>
        <w:numPr>
          <w:ilvl w:val="0"/>
          <w:numId w:val="7"/>
        </w:numPr>
        <w:jc w:val="left"/>
        <w:rPr>
          <w:rFonts w:cs="Arial"/>
          <w:color w:val="000000"/>
        </w:rPr>
      </w:pPr>
      <w:r w:rsidRPr="00C451D5">
        <w:rPr>
          <w:rFonts w:cs="Arial"/>
          <w:color w:val="000000"/>
        </w:rPr>
        <w:t>Be nice people to know, who understand what it is to be a good neighbour, and understand what it is be to an adult member of a community.</w:t>
      </w:r>
    </w:p>
    <w:p w:rsidR="00420847" w:rsidRDefault="00420847" w:rsidP="0042084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7766"/>
      </w:tblGrid>
      <w:tr w:rsidR="00420847" w:rsidRPr="00633077" w:rsidTr="00E6083E">
        <w:tc>
          <w:tcPr>
            <w:tcW w:w="2123" w:type="dxa"/>
          </w:tcPr>
          <w:p w:rsidR="00420847" w:rsidRPr="0071226C" w:rsidRDefault="00420847" w:rsidP="00E6083E">
            <w:pPr>
              <w:rPr>
                <w:rFonts w:cs="Arial"/>
                <w:b/>
              </w:rPr>
            </w:pPr>
            <w:r w:rsidRPr="0071226C">
              <w:rPr>
                <w:rFonts w:cs="Arial"/>
                <w:b/>
              </w:rPr>
              <w:t>Qualifications</w:t>
            </w:r>
          </w:p>
        </w:tc>
        <w:tc>
          <w:tcPr>
            <w:tcW w:w="7766" w:type="dxa"/>
          </w:tcPr>
          <w:p w:rsidR="00420847" w:rsidRPr="0071226C" w:rsidRDefault="00420847" w:rsidP="00E6083E">
            <w:pPr>
              <w:rPr>
                <w:rFonts w:cs="Arial"/>
              </w:rPr>
            </w:pPr>
            <w:r w:rsidRPr="0071226C">
              <w:rPr>
                <w:rFonts w:cs="Arial"/>
              </w:rPr>
              <w:t>Good Graduate with  QTS</w:t>
            </w:r>
          </w:p>
        </w:tc>
      </w:tr>
      <w:tr w:rsidR="00420847" w:rsidRPr="00633077" w:rsidTr="00E6083E">
        <w:tc>
          <w:tcPr>
            <w:tcW w:w="2123" w:type="dxa"/>
          </w:tcPr>
          <w:p w:rsidR="00420847" w:rsidRPr="0071226C" w:rsidRDefault="00420847" w:rsidP="00E6083E">
            <w:pPr>
              <w:rPr>
                <w:rFonts w:cs="Arial"/>
                <w:b/>
              </w:rPr>
            </w:pPr>
            <w:r w:rsidRPr="0071226C">
              <w:rPr>
                <w:rFonts w:cs="Arial"/>
                <w:b/>
              </w:rPr>
              <w:t>Professional Knowledge and Understanding</w:t>
            </w:r>
          </w:p>
        </w:tc>
        <w:tc>
          <w:tcPr>
            <w:tcW w:w="7766" w:type="dxa"/>
          </w:tcPr>
          <w:p w:rsidR="00420847" w:rsidRPr="0071226C" w:rsidRDefault="00420847" w:rsidP="00E6083E">
            <w:pPr>
              <w:rPr>
                <w:rFonts w:cs="Arial"/>
              </w:rPr>
            </w:pPr>
            <w:r w:rsidRPr="0071226C">
              <w:rPr>
                <w:rFonts w:cs="Arial"/>
              </w:rPr>
              <w:t>Understanding of new curriculum thinking, teaching methodology and examination specifications</w:t>
            </w:r>
          </w:p>
        </w:tc>
      </w:tr>
      <w:tr w:rsidR="00420847" w:rsidRPr="00633077" w:rsidTr="00E6083E">
        <w:tc>
          <w:tcPr>
            <w:tcW w:w="2123" w:type="dxa"/>
            <w:vMerge w:val="restart"/>
          </w:tcPr>
          <w:p w:rsidR="00420847" w:rsidRPr="0071226C" w:rsidRDefault="00420847" w:rsidP="00E6083E">
            <w:pPr>
              <w:rPr>
                <w:rFonts w:cs="Arial"/>
                <w:b/>
              </w:rPr>
            </w:pPr>
            <w:r w:rsidRPr="0071226C">
              <w:rPr>
                <w:rFonts w:cs="Arial"/>
                <w:b/>
              </w:rPr>
              <w:t>Professional Skills</w:t>
            </w:r>
          </w:p>
        </w:tc>
        <w:tc>
          <w:tcPr>
            <w:tcW w:w="7766" w:type="dxa"/>
          </w:tcPr>
          <w:p w:rsidR="00420847" w:rsidRPr="0071226C" w:rsidRDefault="00420847" w:rsidP="00E6083E">
            <w:pPr>
              <w:rPr>
                <w:rFonts w:cs="Arial"/>
              </w:rPr>
            </w:pPr>
            <w:r w:rsidRPr="0071226C">
              <w:rPr>
                <w:rFonts w:cs="Arial"/>
              </w:rPr>
              <w:t>Excellent subject knowledge</w:t>
            </w:r>
          </w:p>
        </w:tc>
      </w:tr>
      <w:tr w:rsidR="00420847" w:rsidRPr="00633077" w:rsidTr="00E6083E">
        <w:tc>
          <w:tcPr>
            <w:tcW w:w="2123" w:type="dxa"/>
            <w:vMerge/>
          </w:tcPr>
          <w:p w:rsidR="00420847" w:rsidRPr="0071226C" w:rsidRDefault="00420847" w:rsidP="00E6083E">
            <w:pPr>
              <w:rPr>
                <w:rFonts w:cs="Arial"/>
                <w:b/>
              </w:rPr>
            </w:pPr>
          </w:p>
        </w:tc>
        <w:tc>
          <w:tcPr>
            <w:tcW w:w="7766" w:type="dxa"/>
          </w:tcPr>
          <w:p w:rsidR="00420847" w:rsidRPr="0071226C" w:rsidRDefault="00420847" w:rsidP="00E6083E">
            <w:pPr>
              <w:rPr>
                <w:rFonts w:cs="Arial"/>
              </w:rPr>
            </w:pPr>
            <w:r w:rsidRPr="0071226C">
              <w:rPr>
                <w:rFonts w:cs="Arial"/>
              </w:rPr>
              <w:t xml:space="preserve">The ability to teach routinely at ‘Good’ or ‘Outstanding’ across the age and ability ranges </w:t>
            </w:r>
          </w:p>
        </w:tc>
      </w:tr>
      <w:tr w:rsidR="00420847" w:rsidRPr="00633077" w:rsidTr="00E6083E">
        <w:tc>
          <w:tcPr>
            <w:tcW w:w="2123" w:type="dxa"/>
            <w:vMerge w:val="restart"/>
          </w:tcPr>
          <w:p w:rsidR="00420847" w:rsidRPr="0071226C" w:rsidRDefault="00420847" w:rsidP="00E6083E">
            <w:pPr>
              <w:rPr>
                <w:rFonts w:cs="Arial"/>
                <w:b/>
              </w:rPr>
            </w:pPr>
            <w:r w:rsidRPr="0071226C">
              <w:rPr>
                <w:rFonts w:cs="Arial"/>
                <w:b/>
              </w:rPr>
              <w:t>Professional Characteristics</w:t>
            </w:r>
          </w:p>
        </w:tc>
        <w:tc>
          <w:tcPr>
            <w:tcW w:w="7766" w:type="dxa"/>
          </w:tcPr>
          <w:p w:rsidR="00420847" w:rsidRPr="0071226C" w:rsidRDefault="00420847" w:rsidP="00E6083E">
            <w:pPr>
              <w:rPr>
                <w:rFonts w:cs="Arial"/>
              </w:rPr>
            </w:pPr>
            <w:r w:rsidRPr="0071226C">
              <w:rPr>
                <w:rFonts w:cs="Arial"/>
              </w:rPr>
              <w:t>A passion for learning and a commitment to the needs of young people</w:t>
            </w:r>
          </w:p>
        </w:tc>
      </w:tr>
      <w:tr w:rsidR="00420847" w:rsidRPr="00633077" w:rsidTr="00E6083E">
        <w:tc>
          <w:tcPr>
            <w:tcW w:w="2123" w:type="dxa"/>
            <w:vMerge/>
          </w:tcPr>
          <w:p w:rsidR="00420847" w:rsidRPr="0071226C" w:rsidRDefault="00420847" w:rsidP="00E6083E">
            <w:pPr>
              <w:rPr>
                <w:rFonts w:cs="Arial"/>
                <w:b/>
              </w:rPr>
            </w:pPr>
          </w:p>
        </w:tc>
        <w:tc>
          <w:tcPr>
            <w:tcW w:w="7766" w:type="dxa"/>
          </w:tcPr>
          <w:p w:rsidR="00420847" w:rsidRPr="0071226C" w:rsidRDefault="00420847" w:rsidP="00E6083E">
            <w:pPr>
              <w:rPr>
                <w:rFonts w:cs="Arial"/>
              </w:rPr>
            </w:pPr>
            <w:r w:rsidRPr="0071226C">
              <w:rPr>
                <w:rFonts w:cs="Arial"/>
              </w:rPr>
              <w:t>The willingness to put the needs of our young people first</w:t>
            </w:r>
          </w:p>
        </w:tc>
      </w:tr>
      <w:tr w:rsidR="00420847" w:rsidRPr="00633077" w:rsidTr="00E6083E">
        <w:tc>
          <w:tcPr>
            <w:tcW w:w="2123" w:type="dxa"/>
            <w:vMerge/>
          </w:tcPr>
          <w:p w:rsidR="00420847" w:rsidRPr="0071226C" w:rsidRDefault="00420847" w:rsidP="00E6083E">
            <w:pPr>
              <w:rPr>
                <w:rFonts w:cs="Arial"/>
                <w:b/>
              </w:rPr>
            </w:pPr>
          </w:p>
        </w:tc>
        <w:tc>
          <w:tcPr>
            <w:tcW w:w="7766" w:type="dxa"/>
          </w:tcPr>
          <w:p w:rsidR="00420847" w:rsidRPr="0071226C" w:rsidRDefault="00420847" w:rsidP="00E6083E">
            <w:pPr>
              <w:rPr>
                <w:rFonts w:cs="Arial"/>
              </w:rPr>
            </w:pPr>
            <w:r w:rsidRPr="0071226C">
              <w:rPr>
                <w:rFonts w:cs="Arial"/>
              </w:rPr>
              <w:t>Optimism and a reservoir of hope for young people</w:t>
            </w:r>
          </w:p>
        </w:tc>
      </w:tr>
      <w:tr w:rsidR="00420847" w:rsidRPr="00633077" w:rsidTr="00E6083E">
        <w:tc>
          <w:tcPr>
            <w:tcW w:w="2123" w:type="dxa"/>
            <w:vMerge/>
          </w:tcPr>
          <w:p w:rsidR="00420847" w:rsidRPr="0071226C" w:rsidRDefault="00420847" w:rsidP="00E6083E">
            <w:pPr>
              <w:rPr>
                <w:rFonts w:cs="Arial"/>
                <w:b/>
              </w:rPr>
            </w:pPr>
          </w:p>
        </w:tc>
        <w:tc>
          <w:tcPr>
            <w:tcW w:w="7766" w:type="dxa"/>
          </w:tcPr>
          <w:p w:rsidR="00420847" w:rsidRPr="0071226C" w:rsidRDefault="00420847" w:rsidP="00E6083E">
            <w:pPr>
              <w:rPr>
                <w:rFonts w:cs="Arial"/>
              </w:rPr>
            </w:pPr>
            <w:r w:rsidRPr="0071226C">
              <w:rPr>
                <w:rFonts w:cs="Arial"/>
              </w:rPr>
              <w:t>A motivation for achievement</w:t>
            </w:r>
          </w:p>
        </w:tc>
      </w:tr>
      <w:tr w:rsidR="00420847" w:rsidRPr="00633077" w:rsidTr="00E6083E">
        <w:tc>
          <w:tcPr>
            <w:tcW w:w="2123" w:type="dxa"/>
            <w:vMerge/>
          </w:tcPr>
          <w:p w:rsidR="00420847" w:rsidRPr="0071226C" w:rsidRDefault="00420847" w:rsidP="00E6083E">
            <w:pPr>
              <w:rPr>
                <w:rFonts w:cs="Arial"/>
                <w:b/>
              </w:rPr>
            </w:pPr>
          </w:p>
        </w:tc>
        <w:tc>
          <w:tcPr>
            <w:tcW w:w="7766" w:type="dxa"/>
          </w:tcPr>
          <w:p w:rsidR="00420847" w:rsidRPr="0071226C" w:rsidRDefault="00420847" w:rsidP="00E6083E">
            <w:pPr>
              <w:rPr>
                <w:rFonts w:cs="Arial"/>
              </w:rPr>
            </w:pPr>
            <w:r w:rsidRPr="0071226C">
              <w:rPr>
                <w:rFonts w:cs="Arial"/>
              </w:rPr>
              <w:t>A clear set of personal values evidenced in practice</w:t>
            </w:r>
          </w:p>
        </w:tc>
      </w:tr>
      <w:tr w:rsidR="00420847" w:rsidRPr="00633077" w:rsidTr="00E6083E">
        <w:tc>
          <w:tcPr>
            <w:tcW w:w="2123" w:type="dxa"/>
            <w:vMerge w:val="restart"/>
          </w:tcPr>
          <w:p w:rsidR="00420847" w:rsidRPr="0071226C" w:rsidRDefault="00420847" w:rsidP="00E6083E">
            <w:pPr>
              <w:rPr>
                <w:rFonts w:cs="Arial"/>
                <w:b/>
              </w:rPr>
            </w:pPr>
            <w:r w:rsidRPr="0071226C">
              <w:rPr>
                <w:rFonts w:cs="Arial"/>
                <w:b/>
              </w:rPr>
              <w:t>Leadership skills</w:t>
            </w:r>
          </w:p>
        </w:tc>
        <w:tc>
          <w:tcPr>
            <w:tcW w:w="7766" w:type="dxa"/>
          </w:tcPr>
          <w:p w:rsidR="00420847" w:rsidRPr="0071226C" w:rsidRDefault="00420847" w:rsidP="00E6083E">
            <w:pPr>
              <w:rPr>
                <w:rFonts w:cs="Arial"/>
              </w:rPr>
            </w:pPr>
            <w:r w:rsidRPr="0071226C">
              <w:rPr>
                <w:rFonts w:cs="Arial"/>
              </w:rPr>
              <w:t>The ability to lead and motivate young people</w:t>
            </w:r>
          </w:p>
        </w:tc>
      </w:tr>
      <w:tr w:rsidR="00420847" w:rsidRPr="00633077" w:rsidTr="00E6083E">
        <w:tc>
          <w:tcPr>
            <w:tcW w:w="2123" w:type="dxa"/>
            <w:vMerge/>
          </w:tcPr>
          <w:p w:rsidR="00420847" w:rsidRPr="0071226C" w:rsidRDefault="00420847" w:rsidP="00E6083E">
            <w:pPr>
              <w:rPr>
                <w:rFonts w:cs="Arial"/>
                <w:b/>
              </w:rPr>
            </w:pPr>
          </w:p>
        </w:tc>
        <w:tc>
          <w:tcPr>
            <w:tcW w:w="7766" w:type="dxa"/>
          </w:tcPr>
          <w:p w:rsidR="00420847" w:rsidRPr="0071226C" w:rsidRDefault="00420847" w:rsidP="00E6083E">
            <w:pPr>
              <w:rPr>
                <w:rFonts w:cs="Arial"/>
              </w:rPr>
            </w:pPr>
            <w:r w:rsidRPr="0071226C">
              <w:rPr>
                <w:rFonts w:cs="Arial"/>
              </w:rPr>
              <w:t>The ability to identify and solve problems</w:t>
            </w:r>
          </w:p>
        </w:tc>
      </w:tr>
      <w:tr w:rsidR="00420847" w:rsidRPr="00633077" w:rsidTr="00E6083E">
        <w:tc>
          <w:tcPr>
            <w:tcW w:w="2123" w:type="dxa"/>
            <w:vMerge/>
          </w:tcPr>
          <w:p w:rsidR="00420847" w:rsidRPr="0071226C" w:rsidRDefault="00420847" w:rsidP="00E6083E">
            <w:pPr>
              <w:rPr>
                <w:rFonts w:cs="Arial"/>
                <w:b/>
              </w:rPr>
            </w:pPr>
          </w:p>
        </w:tc>
        <w:tc>
          <w:tcPr>
            <w:tcW w:w="7766" w:type="dxa"/>
          </w:tcPr>
          <w:p w:rsidR="00420847" w:rsidRPr="0071226C" w:rsidRDefault="00420847" w:rsidP="00E6083E">
            <w:pPr>
              <w:rPr>
                <w:rFonts w:cs="Arial"/>
              </w:rPr>
            </w:pPr>
            <w:r w:rsidRPr="0071226C">
              <w:rPr>
                <w:rFonts w:cs="Arial"/>
              </w:rPr>
              <w:t>Empathy and emotional literacy</w:t>
            </w:r>
          </w:p>
        </w:tc>
      </w:tr>
      <w:tr w:rsidR="00420847" w:rsidRPr="00633077" w:rsidTr="00E6083E">
        <w:tc>
          <w:tcPr>
            <w:tcW w:w="2123" w:type="dxa"/>
            <w:vMerge/>
          </w:tcPr>
          <w:p w:rsidR="00420847" w:rsidRPr="0071226C" w:rsidRDefault="00420847" w:rsidP="00E6083E">
            <w:pPr>
              <w:rPr>
                <w:rFonts w:cs="Arial"/>
                <w:b/>
              </w:rPr>
            </w:pPr>
          </w:p>
        </w:tc>
        <w:tc>
          <w:tcPr>
            <w:tcW w:w="7766" w:type="dxa"/>
          </w:tcPr>
          <w:p w:rsidR="00420847" w:rsidRPr="0071226C" w:rsidRDefault="00420847" w:rsidP="00E6083E">
            <w:pPr>
              <w:rPr>
                <w:rFonts w:cs="Arial"/>
              </w:rPr>
            </w:pPr>
            <w:r w:rsidRPr="0071226C">
              <w:rPr>
                <w:rFonts w:cs="Arial"/>
              </w:rPr>
              <w:t>The ability to vary teaching style for different purposes</w:t>
            </w:r>
          </w:p>
        </w:tc>
      </w:tr>
      <w:tr w:rsidR="00420847" w:rsidRPr="00633077" w:rsidTr="00E6083E">
        <w:tc>
          <w:tcPr>
            <w:tcW w:w="2123" w:type="dxa"/>
            <w:vMerge w:val="restart"/>
          </w:tcPr>
          <w:p w:rsidR="00420847" w:rsidRPr="0071226C" w:rsidRDefault="00420847" w:rsidP="00E6083E">
            <w:pPr>
              <w:rPr>
                <w:rFonts w:cs="Arial"/>
                <w:b/>
              </w:rPr>
            </w:pPr>
            <w:r w:rsidRPr="0071226C">
              <w:rPr>
                <w:rFonts w:cs="Arial"/>
                <w:b/>
              </w:rPr>
              <w:t xml:space="preserve">Professional Development </w:t>
            </w:r>
          </w:p>
        </w:tc>
        <w:tc>
          <w:tcPr>
            <w:tcW w:w="7766" w:type="dxa"/>
          </w:tcPr>
          <w:p w:rsidR="00420847" w:rsidRPr="0071226C" w:rsidRDefault="00420847" w:rsidP="00E6083E">
            <w:pPr>
              <w:rPr>
                <w:rFonts w:cs="Arial"/>
              </w:rPr>
            </w:pPr>
            <w:r w:rsidRPr="0071226C">
              <w:rPr>
                <w:rFonts w:cs="Arial"/>
              </w:rPr>
              <w:t xml:space="preserve">Recent training relevant to the demands of this post </w:t>
            </w:r>
          </w:p>
        </w:tc>
      </w:tr>
      <w:tr w:rsidR="00420847" w:rsidRPr="00633077" w:rsidTr="00E6083E">
        <w:tc>
          <w:tcPr>
            <w:tcW w:w="2123" w:type="dxa"/>
            <w:vMerge/>
          </w:tcPr>
          <w:p w:rsidR="00420847" w:rsidRPr="0071226C" w:rsidRDefault="00420847" w:rsidP="00E6083E">
            <w:pPr>
              <w:rPr>
                <w:rFonts w:cs="Arial"/>
                <w:b/>
              </w:rPr>
            </w:pPr>
          </w:p>
        </w:tc>
        <w:tc>
          <w:tcPr>
            <w:tcW w:w="7766" w:type="dxa"/>
          </w:tcPr>
          <w:p w:rsidR="00420847" w:rsidRPr="0071226C" w:rsidRDefault="00420847" w:rsidP="00E6083E">
            <w:pPr>
              <w:rPr>
                <w:rFonts w:cs="Arial"/>
              </w:rPr>
            </w:pPr>
            <w:r w:rsidRPr="0071226C">
              <w:rPr>
                <w:rFonts w:cs="Arial"/>
              </w:rPr>
              <w:t>Recent training on pedagogy embedded into their own practice</w:t>
            </w:r>
          </w:p>
        </w:tc>
      </w:tr>
    </w:tbl>
    <w:p w:rsidR="00420847" w:rsidRPr="00C451D5" w:rsidRDefault="00420847" w:rsidP="00420847">
      <w:pPr>
        <w:pStyle w:val="p2"/>
        <w:spacing w:line="240" w:lineRule="auto"/>
        <w:jc w:val="both"/>
        <w:rPr>
          <w:rFonts w:ascii="Arial" w:hAnsi="Arial" w:cs="Arial"/>
          <w:sz w:val="24"/>
        </w:rPr>
      </w:pPr>
    </w:p>
    <w:p w:rsidR="00420847" w:rsidRDefault="00420847" w:rsidP="00420847"/>
    <w:p w:rsidR="005D112E" w:rsidRPr="00420847" w:rsidRDefault="005D112E" w:rsidP="00420847">
      <w:bookmarkStart w:id="0" w:name="_GoBack"/>
      <w:bookmarkEnd w:id="0"/>
    </w:p>
    <w:sectPr w:rsidR="005D112E" w:rsidRPr="00420847" w:rsidSect="005B6128">
      <w:headerReference w:type="default" r:id="rId10"/>
      <w:footerReference w:type="default" r:id="rId11"/>
      <w:headerReference w:type="first" r:id="rId12"/>
      <w:footerReference w:type="first" r:id="rId13"/>
      <w:pgSz w:w="11906" w:h="16838"/>
      <w:pgMar w:top="851" w:right="851" w:bottom="426" w:left="85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832" w:rsidRDefault="00F40832" w:rsidP="00F40832">
      <w:r>
        <w:separator/>
      </w:r>
    </w:p>
  </w:endnote>
  <w:endnote w:type="continuationSeparator" w:id="0">
    <w:p w:rsidR="00F40832" w:rsidRDefault="00F4083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p>
  <w:p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r w:rsidRPr="00806A63">
      <w:rPr>
        <w:rFonts w:cs="Arial"/>
        <w:color w:val="808080" w:themeColor="background1" w:themeShade="80"/>
        <w:sz w:val="16"/>
        <w:szCs w:val="16"/>
        <w:shd w:val="clear" w:color="auto" w:fill="FFFFFF"/>
      </w:rPr>
      <w:fldChar w:fldCharType="begin"/>
    </w:r>
    <w:r w:rsidRPr="00806A63">
      <w:rPr>
        <w:rFonts w:cs="Arial"/>
        <w:color w:val="808080" w:themeColor="background1" w:themeShade="80"/>
        <w:sz w:val="16"/>
        <w:szCs w:val="16"/>
        <w:shd w:val="clear" w:color="auto" w:fill="FFFFFF"/>
      </w:rPr>
      <w:instrText xml:space="preserve"> PAGE   \* MERGEFORMAT </w:instrText>
    </w:r>
    <w:r w:rsidRPr="00806A63">
      <w:rPr>
        <w:rFonts w:cs="Arial"/>
        <w:color w:val="808080" w:themeColor="background1" w:themeShade="80"/>
        <w:sz w:val="16"/>
        <w:szCs w:val="16"/>
        <w:shd w:val="clear" w:color="auto" w:fill="FFFFFF"/>
      </w:rPr>
      <w:fldChar w:fldCharType="separate"/>
    </w:r>
    <w:r w:rsidR="008D4E53">
      <w:rPr>
        <w:rFonts w:cs="Arial"/>
        <w:noProof/>
        <w:color w:val="808080" w:themeColor="background1" w:themeShade="80"/>
        <w:sz w:val="16"/>
        <w:szCs w:val="16"/>
        <w:shd w:val="clear" w:color="auto" w:fill="FFFFFF"/>
      </w:rPr>
      <w:t>2</w:t>
    </w:r>
    <w:r w:rsidRPr="00806A63">
      <w:rPr>
        <w:rFonts w:cs="Arial"/>
        <w:noProof/>
        <w:color w:val="808080" w:themeColor="background1" w:themeShade="80"/>
        <w:sz w:val="16"/>
        <w:szCs w:val="16"/>
        <w:shd w:val="clear" w:color="auto" w:fill="FFFFFF"/>
      </w:rPr>
      <w:fldChar w:fldCharType="end"/>
    </w:r>
  </w:p>
  <w:p w:rsidR="007C6248" w:rsidRPr="00806A63" w:rsidRDefault="007C6248" w:rsidP="007C6248">
    <w:pPr>
      <w:pStyle w:val="Header"/>
      <w:tabs>
        <w:tab w:val="clear" w:pos="4513"/>
        <w:tab w:val="clear" w:pos="9026"/>
        <w:tab w:val="right" w:pos="10204"/>
      </w:tabs>
      <w:jc w:val="center"/>
      <w:rPr>
        <w:rFonts w:cs="Arial"/>
        <w:color w:val="808080" w:themeColor="background1" w:themeShade="80"/>
        <w:sz w:val="16"/>
        <w:szCs w:val="16"/>
      </w:rPr>
    </w:pPr>
    <w:r w:rsidRPr="00806A63">
      <w:rPr>
        <w:rFonts w:cs="Arial"/>
        <w:b/>
        <w:color w:val="808080" w:themeColor="background1" w:themeShade="80"/>
        <w:sz w:val="16"/>
        <w:szCs w:val="16"/>
      </w:rPr>
      <w:t>The GORSE Academies Trust,</w:t>
    </w:r>
    <w:r w:rsidR="00806A63">
      <w:rPr>
        <w:rFonts w:cs="Arial"/>
        <w:b/>
        <w:color w:val="808080" w:themeColor="background1" w:themeShade="80"/>
        <w:sz w:val="16"/>
        <w:szCs w:val="16"/>
      </w:rPr>
      <w:t xml:space="preserve"> </w:t>
    </w:r>
    <w:r w:rsidR="00806A63">
      <w:rPr>
        <w:rFonts w:cs="Arial"/>
        <w:color w:val="808080" w:themeColor="background1" w:themeShade="80"/>
        <w:sz w:val="16"/>
        <w:szCs w:val="16"/>
      </w:rPr>
      <w:t xml:space="preserve">c/o </w:t>
    </w:r>
    <w:proofErr w:type="spellStart"/>
    <w:r w:rsidR="00806A63">
      <w:rPr>
        <w:rFonts w:cs="Arial"/>
        <w:color w:val="808080" w:themeColor="background1" w:themeShade="80"/>
        <w:sz w:val="16"/>
        <w:szCs w:val="16"/>
      </w:rPr>
      <w:t>Bruntcliffe</w:t>
    </w:r>
    <w:proofErr w:type="spellEnd"/>
    <w:r w:rsidR="00806A63">
      <w:rPr>
        <w:rFonts w:cs="Arial"/>
        <w:color w:val="808080" w:themeColor="background1" w:themeShade="80"/>
        <w:sz w:val="16"/>
        <w:szCs w:val="16"/>
      </w:rPr>
      <w:t xml:space="preserve"> Academy,</w:t>
    </w:r>
    <w:r w:rsidRPr="00806A63">
      <w:rPr>
        <w:rFonts w:cs="Arial"/>
        <w:color w:val="808080" w:themeColor="background1" w:themeShade="80"/>
        <w:sz w:val="16"/>
        <w:szCs w:val="16"/>
      </w:rPr>
      <w:t xml:space="preserve"> </w:t>
    </w:r>
    <w:proofErr w:type="spellStart"/>
    <w:r w:rsidRPr="00806A63">
      <w:rPr>
        <w:rFonts w:cs="Arial"/>
        <w:color w:val="808080" w:themeColor="background1" w:themeShade="80"/>
        <w:sz w:val="16"/>
        <w:szCs w:val="16"/>
      </w:rPr>
      <w:t>Bruntcliffe</w:t>
    </w:r>
    <w:proofErr w:type="spellEnd"/>
    <w:r w:rsidRPr="00806A63">
      <w:rPr>
        <w:rFonts w:cs="Arial"/>
        <w:color w:val="808080" w:themeColor="background1" w:themeShade="80"/>
        <w:sz w:val="16"/>
        <w:szCs w:val="16"/>
      </w:rPr>
      <w:t xml:space="preserve"> Lane, Morley, Leeds, LS27 0LZ</w:t>
    </w:r>
  </w:p>
  <w:p w:rsidR="00A12538" w:rsidRPr="00806A63" w:rsidRDefault="007C6248" w:rsidP="00806A63">
    <w:pPr>
      <w:pStyle w:val="Header"/>
      <w:tabs>
        <w:tab w:val="clear" w:pos="4513"/>
        <w:tab w:val="clear" w:pos="9026"/>
        <w:tab w:val="right" w:pos="10204"/>
      </w:tabs>
      <w:jc w:val="center"/>
      <w:rPr>
        <w:rFonts w:cs="Arial"/>
        <w:color w:val="808080" w:themeColor="background1" w:themeShade="80"/>
        <w:sz w:val="16"/>
        <w:szCs w:val="16"/>
      </w:rPr>
    </w:pPr>
    <w:r w:rsidRPr="00806A63">
      <w:rPr>
        <w:rFonts w:cs="Arial"/>
        <w:b/>
        <w:color w:val="808080" w:themeColor="background1" w:themeShade="80"/>
        <w:sz w:val="16"/>
        <w:szCs w:val="16"/>
      </w:rPr>
      <w:t>T</w:t>
    </w:r>
    <w:r w:rsidRPr="00806A63">
      <w:rPr>
        <w:rFonts w:cs="Arial"/>
        <w:color w:val="808080" w:themeColor="background1" w:themeShade="80"/>
        <w:sz w:val="16"/>
        <w:szCs w:val="16"/>
      </w:rPr>
      <w:t xml:space="preserve"> 0113 487 </w:t>
    </w:r>
    <w:proofErr w:type="gramStart"/>
    <w:r w:rsidRPr="00806A63">
      <w:rPr>
        <w:rFonts w:cs="Arial"/>
        <w:color w:val="808080" w:themeColor="background1" w:themeShade="80"/>
        <w:sz w:val="16"/>
        <w:szCs w:val="16"/>
      </w:rPr>
      <w:t>8888  |</w:t>
    </w:r>
    <w:proofErr w:type="gramEnd"/>
    <w:r w:rsidRPr="00806A63">
      <w:rPr>
        <w:rFonts w:cs="Arial"/>
        <w:color w:val="808080" w:themeColor="background1" w:themeShade="80"/>
        <w:sz w:val="16"/>
        <w:szCs w:val="16"/>
      </w:rPr>
      <w:t xml:space="preserve">  </w:t>
    </w:r>
    <w:r w:rsidRPr="00806A63">
      <w:rPr>
        <w:rFonts w:cs="Arial"/>
        <w:b/>
        <w:color w:val="808080" w:themeColor="background1" w:themeShade="80"/>
        <w:sz w:val="16"/>
        <w:szCs w:val="16"/>
      </w:rPr>
      <w:t>E</w:t>
    </w:r>
    <w:r w:rsidRPr="00806A63">
      <w:rPr>
        <w:rFonts w:cs="Arial"/>
        <w:color w:val="808080" w:themeColor="background1" w:themeShade="80"/>
        <w:sz w:val="16"/>
        <w:szCs w:val="16"/>
      </w:rPr>
      <w:t xml:space="preserve">: info@tgat.org.uk  |  </w:t>
    </w:r>
    <w:r w:rsidR="00806A63" w:rsidRPr="00806A63">
      <w:rPr>
        <w:rFonts w:cs="Arial"/>
        <w:b/>
        <w:color w:val="808080" w:themeColor="background1" w:themeShade="80"/>
        <w:sz w:val="16"/>
        <w:szCs w:val="16"/>
      </w:rPr>
      <w:t>W</w:t>
    </w:r>
    <w:r w:rsidR="00806A63">
      <w:rPr>
        <w:rFonts w:cs="Arial"/>
        <w:color w:val="808080" w:themeColor="background1" w:themeShade="80"/>
        <w:sz w:val="16"/>
        <w:szCs w:val="16"/>
      </w:rPr>
      <w:t xml:space="preserve"> </w:t>
    </w:r>
    <w:r w:rsidRPr="00806A63">
      <w:rPr>
        <w:rFonts w:cs="Arial"/>
        <w:color w:val="808080" w:themeColor="background1" w:themeShade="80"/>
        <w:sz w:val="16"/>
        <w:szCs w:val="16"/>
      </w:rPr>
      <w:t>www.tgat.org.uk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rsidR="00A12538" w:rsidRPr="005D7F25" w:rsidRDefault="00A12538" w:rsidP="00A12538">
    <w:pPr>
      <w:pStyle w:val="Footer"/>
      <w:tabs>
        <w:tab w:val="clear" w:pos="4513"/>
        <w:tab w:val="clear" w:pos="9026"/>
        <w:tab w:val="right" w:pos="10204"/>
      </w:tabs>
      <w:rPr>
        <w:rFonts w:cs="Arial"/>
        <w:sz w:val="16"/>
        <w:szCs w:val="18"/>
        <w:shd w:val="clear" w:color="auto" w:fill="FFFFFF"/>
      </w:rPr>
    </w:pPr>
  </w:p>
  <w:p w:rsidR="00A12538" w:rsidRPr="005D7F25" w:rsidRDefault="00420847"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sz w:val="16"/>
        <w:szCs w:val="18"/>
        <w:shd w:val="clear" w:color="auto" w:fill="FFFFFF"/>
      </w:rPr>
    </w:pPr>
    <w:r>
      <w:rPr>
        <w:rFonts w:cs="Arial"/>
        <w:noProof/>
        <w:sz w:val="16"/>
        <w:szCs w:val="18"/>
        <w:shd w:val="clear" w:color="auto" w:fill="FFFFFF"/>
        <w:lang w:eastAsia="en-GB"/>
      </w:rPr>
      <w:drawing>
        <wp:inline distT="0" distB="0" distL="0" distR="0">
          <wp:extent cx="855980" cy="723900"/>
          <wp:effectExtent l="0" t="0" r="1270" b="0"/>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12-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723900"/>
                  </a:xfrm>
                  <a:prstGeom prst="rect">
                    <a:avLst/>
                  </a:prstGeom>
                  <a:noFill/>
                  <a:ln>
                    <a:noFill/>
                  </a:ln>
                </pic:spPr>
              </pic:pic>
            </a:graphicData>
          </a:graphic>
        </wp:inline>
      </w:drawing>
    </w:r>
    <w:r w:rsidR="002B65F3">
      <w:rPr>
        <w:rFonts w:cs="Arial"/>
        <w:sz w:val="16"/>
        <w:szCs w:val="18"/>
        <w:shd w:val="clear" w:color="auto" w:fill="FFFFFF"/>
      </w:rPr>
      <w:tab/>
    </w:r>
    <w:r>
      <w:rPr>
        <w:rFonts w:cs="Arial"/>
        <w:noProof/>
        <w:sz w:val="16"/>
        <w:szCs w:val="18"/>
        <w:shd w:val="clear" w:color="auto" w:fill="FFFFFF"/>
        <w:lang w:eastAsia="en-GB"/>
      </w:rPr>
      <w:drawing>
        <wp:inline distT="0" distB="0" distL="0" distR="0">
          <wp:extent cx="855980" cy="723900"/>
          <wp:effectExtent l="0" t="0" r="1270" b="0"/>
          <wp:docPr id="3" name="Picture 3" descr="Outstanding_Colour_School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_Colour_School 13-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980" cy="723900"/>
                  </a:xfrm>
                  <a:prstGeom prst="rect">
                    <a:avLst/>
                  </a:prstGeom>
                  <a:noFill/>
                  <a:ln>
                    <a:noFill/>
                  </a:ln>
                </pic:spPr>
              </pic:pic>
            </a:graphicData>
          </a:graphic>
        </wp:inline>
      </w:drawing>
    </w:r>
    <w:r w:rsidR="00787E68" w:rsidRPr="005D7F25">
      <w:rPr>
        <w:rFonts w:cs="Arial"/>
        <w:sz w:val="16"/>
        <w:szCs w:val="18"/>
        <w:shd w:val="clear" w:color="auto" w:fill="FFFFFF"/>
      </w:rPr>
      <w:tab/>
    </w:r>
    <w:r>
      <w:rPr>
        <w:rFonts w:cs="Arial"/>
        <w:noProof/>
        <w:sz w:val="16"/>
        <w:szCs w:val="18"/>
        <w:shd w:val="clear" w:color="auto" w:fill="FFFFFF"/>
        <w:lang w:eastAsia="en-GB"/>
      </w:rPr>
      <w:drawing>
        <wp:inline distT="0" distB="0" distL="0" distR="0">
          <wp:extent cx="855980" cy="723900"/>
          <wp:effectExtent l="0" t="0" r="1270" b="0"/>
          <wp:docPr id="2" name="Picture 2" descr="Outstanding_Colour_School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6-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980" cy="723900"/>
                  </a:xfrm>
                  <a:prstGeom prst="rect">
                    <a:avLst/>
                  </a:prstGeom>
                  <a:noFill/>
                  <a:ln>
                    <a:noFill/>
                  </a:ln>
                </pic:spPr>
              </pic:pic>
            </a:graphicData>
          </a:graphic>
        </wp:inline>
      </w:drawing>
    </w:r>
    <w:r w:rsidR="00787E68" w:rsidRPr="005D7F25">
      <w:rPr>
        <w:rFonts w:cs="Arial"/>
        <w:sz w:val="16"/>
        <w:szCs w:val="18"/>
        <w:shd w:val="clear" w:color="auto" w:fill="FFFFFF"/>
      </w:rPr>
      <w:tab/>
    </w:r>
    <w:r>
      <w:rPr>
        <w:rFonts w:cs="Arial"/>
        <w:noProof/>
        <w:sz w:val="16"/>
        <w:szCs w:val="18"/>
        <w:shd w:val="clear" w:color="auto" w:fill="FFFFFF"/>
        <w:lang w:eastAsia="en-GB"/>
      </w:rPr>
      <w:drawing>
        <wp:inline distT="0" distB="0" distL="0" distR="0">
          <wp:extent cx="723900" cy="723900"/>
          <wp:effectExtent l="0" t="0" r="0" b="0"/>
          <wp:docPr id="1" name="Picture 1"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extent cx="723900" cy="723900"/>
          <wp:effectExtent l="0" t="0" r="0" b="0"/>
          <wp:docPr id="18" name="Picture 18"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extent cx="723900" cy="723900"/>
          <wp:effectExtent l="0" t="0" r="0" b="0"/>
          <wp:docPr id="19" name="Picture 19"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BA6E27">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14:anchorId="2EF0F977" wp14:editId="6D9F07E5">
          <wp:extent cx="723900" cy="723900"/>
          <wp:effectExtent l="0" t="0" r="0" b="0"/>
          <wp:docPr id="20" name="Picture 20"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87E68" w:rsidRPr="007C6248" w:rsidRDefault="00787E68" w:rsidP="005D7F25">
    <w:pPr>
      <w:pStyle w:val="Footer"/>
      <w:tabs>
        <w:tab w:val="clear" w:pos="4513"/>
        <w:tab w:val="clear" w:pos="9026"/>
        <w:tab w:val="left" w:pos="1560"/>
        <w:tab w:val="left" w:pos="3119"/>
        <w:tab w:val="left" w:pos="4678"/>
        <w:tab w:val="left" w:pos="6237"/>
        <w:tab w:val="left" w:pos="7797"/>
        <w:tab w:val="right" w:pos="10204"/>
      </w:tabs>
      <w:rPr>
        <w:rFonts w:cs="Arial"/>
        <w:sz w:val="6"/>
        <w:szCs w:val="18"/>
        <w:shd w:val="clear" w:color="auto" w:fill="FFFFFF"/>
      </w:rPr>
    </w:pPr>
  </w:p>
  <w:p w:rsidR="00787E68" w:rsidRPr="005D7F25"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sz w:val="16"/>
        <w:szCs w:val="18"/>
        <w:shd w:val="clear" w:color="auto" w:fill="FFFFFF"/>
      </w:rPr>
    </w:pPr>
    <w:r w:rsidRPr="005D7F25">
      <w:rPr>
        <w:rFonts w:cs="Arial"/>
        <w:b/>
        <w:sz w:val="16"/>
        <w:szCs w:val="18"/>
        <w:shd w:val="clear" w:color="auto" w:fill="FFFFFF"/>
      </w:rPr>
      <w:t>The Morley</w:t>
    </w:r>
    <w:r w:rsidRPr="005D7F25">
      <w:rPr>
        <w:rFonts w:cs="Arial"/>
        <w:b/>
        <w:sz w:val="16"/>
        <w:szCs w:val="18"/>
        <w:shd w:val="clear" w:color="auto" w:fill="FFFFFF"/>
      </w:rPr>
      <w:tab/>
      <w:t xml:space="preserve">The </w:t>
    </w:r>
    <w:proofErr w:type="spellStart"/>
    <w:r w:rsidRPr="005D7F25">
      <w:rPr>
        <w:rFonts w:cs="Arial"/>
        <w:b/>
        <w:sz w:val="16"/>
        <w:szCs w:val="18"/>
        <w:shd w:val="clear" w:color="auto" w:fill="FFFFFF"/>
      </w:rPr>
      <w:t>Farnley</w:t>
    </w:r>
    <w:proofErr w:type="spellEnd"/>
    <w:r w:rsidRPr="005D7F25">
      <w:rPr>
        <w:rFonts w:cs="Arial"/>
        <w:b/>
        <w:sz w:val="16"/>
        <w:szCs w:val="18"/>
        <w:shd w:val="clear" w:color="auto" w:fill="FFFFFF"/>
      </w:rPr>
      <w:tab/>
      <w:t>Hillcrest</w:t>
    </w:r>
    <w:r w:rsidRPr="005D7F25">
      <w:rPr>
        <w:rFonts w:cs="Arial"/>
        <w:b/>
        <w:sz w:val="16"/>
        <w:szCs w:val="18"/>
        <w:shd w:val="clear" w:color="auto" w:fill="FFFFFF"/>
      </w:rPr>
      <w:tab/>
      <w:t>The Ruth</w:t>
    </w:r>
    <w:r w:rsidRPr="005D7F25">
      <w:rPr>
        <w:rFonts w:cs="Arial"/>
        <w:b/>
        <w:sz w:val="16"/>
        <w:szCs w:val="18"/>
        <w:shd w:val="clear" w:color="auto" w:fill="FFFFFF"/>
      </w:rPr>
      <w:tab/>
      <w:t>GORSE SCITT</w:t>
    </w:r>
    <w:r w:rsidRPr="005D7F25">
      <w:rPr>
        <w:rFonts w:cs="Arial"/>
        <w:b/>
        <w:sz w:val="16"/>
        <w:szCs w:val="18"/>
        <w:shd w:val="clear" w:color="auto" w:fill="FFFFFF"/>
      </w:rPr>
      <w:tab/>
      <w:t>Morley Newlands</w:t>
    </w:r>
    <w:r w:rsidR="00BA6E27">
      <w:rPr>
        <w:rFonts w:cs="Arial"/>
        <w:b/>
        <w:sz w:val="16"/>
        <w:szCs w:val="18"/>
        <w:shd w:val="clear" w:color="auto" w:fill="FFFFFF"/>
      </w:rPr>
      <w:tab/>
      <w:t>Elliot</w:t>
    </w:r>
    <w:r w:rsidR="00986F05">
      <w:rPr>
        <w:rFonts w:cs="Arial"/>
        <w:b/>
        <w:sz w:val="16"/>
        <w:szCs w:val="18"/>
        <w:shd w:val="clear" w:color="auto" w:fill="FFFFFF"/>
      </w:rPr>
      <w:t>t</w:t>
    </w:r>
    <w:r w:rsidR="00BA6E27">
      <w:rPr>
        <w:rFonts w:cs="Arial"/>
        <w:b/>
        <w:sz w:val="16"/>
        <w:szCs w:val="18"/>
        <w:shd w:val="clear" w:color="auto" w:fill="FFFFFF"/>
      </w:rPr>
      <w:t xml:space="preserve"> Hudson</w:t>
    </w:r>
  </w:p>
  <w:p w:rsidR="00787E68" w:rsidRPr="00787E68"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bCs/>
        <w:color w:val="333333"/>
        <w:sz w:val="16"/>
        <w:szCs w:val="18"/>
        <w:shd w:val="clear" w:color="auto" w:fill="FFFFFF"/>
      </w:rPr>
    </w:pPr>
    <w:r w:rsidRPr="005D7F25">
      <w:rPr>
        <w:rFonts w:cs="Arial"/>
        <w:b/>
        <w:bCs/>
        <w:sz w:val="16"/>
        <w:szCs w:val="18"/>
        <w:shd w:val="clear" w:color="auto" w:fill="FFFFFF"/>
      </w:rPr>
      <w:t>Academy</w:t>
    </w:r>
    <w:r w:rsidRPr="005D7F25">
      <w:rPr>
        <w:rFonts w:cs="Arial"/>
        <w:b/>
        <w:bCs/>
        <w:sz w:val="16"/>
        <w:szCs w:val="18"/>
        <w:shd w:val="clear" w:color="auto" w:fill="FFFFFF"/>
      </w:rPr>
      <w:tab/>
    </w:r>
    <w:proofErr w:type="spellStart"/>
    <w:r w:rsidRPr="005D7F25">
      <w:rPr>
        <w:rFonts w:cs="Arial"/>
        <w:b/>
        <w:bCs/>
        <w:sz w:val="16"/>
        <w:szCs w:val="18"/>
        <w:shd w:val="clear" w:color="auto" w:fill="FFFFFF"/>
      </w:rPr>
      <w:t>Academy</w:t>
    </w:r>
    <w:proofErr w:type="spellEnd"/>
    <w:r w:rsidRPr="005D7F25">
      <w:rPr>
        <w:rFonts w:cs="Arial"/>
        <w:b/>
        <w:bCs/>
        <w:sz w:val="16"/>
        <w:szCs w:val="18"/>
        <w:shd w:val="clear" w:color="auto" w:fill="FFFFFF"/>
      </w:rPr>
      <w:tab/>
    </w:r>
    <w:proofErr w:type="spellStart"/>
    <w:r w:rsidR="005D7F25" w:rsidRPr="005D7F25">
      <w:rPr>
        <w:rFonts w:cs="Arial"/>
        <w:b/>
        <w:sz w:val="16"/>
        <w:szCs w:val="18"/>
        <w:shd w:val="clear" w:color="auto" w:fill="FFFFFF"/>
      </w:rPr>
      <w:t>Academy</w:t>
    </w:r>
    <w:proofErr w:type="spellEnd"/>
    <w:r w:rsidRPr="005D7F25">
      <w:rPr>
        <w:rFonts w:cs="Arial"/>
        <w:b/>
        <w:bCs/>
        <w:sz w:val="16"/>
        <w:szCs w:val="18"/>
        <w:shd w:val="clear" w:color="auto" w:fill="FFFFFF"/>
      </w:rPr>
      <w:tab/>
    </w:r>
    <w:r w:rsidR="00BA6E27" w:rsidRPr="005D7F25">
      <w:rPr>
        <w:rFonts w:cs="Arial"/>
        <w:b/>
        <w:sz w:val="16"/>
        <w:szCs w:val="18"/>
        <w:shd w:val="clear" w:color="auto" w:fill="FFFFFF"/>
      </w:rPr>
      <w:t>Gorse</w:t>
    </w:r>
    <w:r w:rsidR="00BA6E27" w:rsidRPr="005D7F25">
      <w:rPr>
        <w:rFonts w:cs="Arial"/>
        <w:b/>
        <w:bCs/>
        <w:sz w:val="16"/>
        <w:szCs w:val="18"/>
        <w:shd w:val="clear" w:color="auto" w:fill="FFFFFF"/>
      </w:rPr>
      <w:t xml:space="preserve"> </w:t>
    </w:r>
    <w:r w:rsidRPr="005D7F25">
      <w:rPr>
        <w:rFonts w:cs="Arial"/>
        <w:b/>
        <w:bCs/>
        <w:sz w:val="16"/>
        <w:szCs w:val="18"/>
        <w:shd w:val="clear" w:color="auto" w:fill="FFFFFF"/>
      </w:rPr>
      <w:t>Academy</w:t>
    </w:r>
    <w:r w:rsidRPr="005D7F25">
      <w:rPr>
        <w:rFonts w:cs="Arial"/>
        <w:b/>
        <w:bCs/>
        <w:sz w:val="16"/>
        <w:szCs w:val="18"/>
        <w:shd w:val="clear" w:color="auto" w:fill="FFFFFF"/>
      </w:rPr>
      <w:tab/>
    </w:r>
    <w:r w:rsidRPr="005D7F25">
      <w:rPr>
        <w:rFonts w:cs="Arial"/>
        <w:b/>
        <w:bCs/>
        <w:sz w:val="16"/>
        <w:szCs w:val="18"/>
        <w:shd w:val="clear" w:color="auto" w:fill="FFFFFF"/>
      </w:rPr>
      <w:tab/>
    </w:r>
    <w:proofErr w:type="spellStart"/>
    <w:r w:rsidRPr="005D7F25">
      <w:rPr>
        <w:rFonts w:cs="Arial"/>
        <w:b/>
        <w:bCs/>
        <w:sz w:val="16"/>
        <w:szCs w:val="18"/>
        <w:shd w:val="clear" w:color="auto" w:fill="FFFFFF"/>
      </w:rPr>
      <w:t>Academy</w:t>
    </w:r>
    <w:proofErr w:type="spellEnd"/>
    <w:r w:rsidR="00BA6E27">
      <w:rPr>
        <w:rFonts w:cs="Arial"/>
        <w:b/>
        <w:bCs/>
        <w:sz w:val="16"/>
        <w:szCs w:val="18"/>
        <w:shd w:val="clear" w:color="auto" w:fill="FFFFFF"/>
      </w:rPr>
      <w:tab/>
      <w:t>College</w:t>
    </w:r>
    <w:r>
      <w:rPr>
        <w:rFonts w:cs="Arial"/>
        <w:b/>
        <w:bCs/>
        <w:color w:val="333333"/>
        <w:sz w:val="16"/>
        <w:szCs w:val="18"/>
        <w:shd w:val="clear" w:color="auto" w:fill="FFFF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832" w:rsidRDefault="00F40832" w:rsidP="00F40832">
      <w:r>
        <w:separator/>
      </w:r>
    </w:p>
  </w:footnote>
  <w:footnote w:type="continuationSeparator" w:id="0">
    <w:p w:rsidR="00F40832" w:rsidRDefault="00F40832" w:rsidP="00F40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62" w:rsidRDefault="00420847">
    <w:pPr>
      <w:pStyle w:val="Header"/>
      <w:rPr>
        <w:rFonts w:cs="Arial"/>
        <w:sz w:val="16"/>
        <w:szCs w:val="16"/>
      </w:rPr>
    </w:pPr>
    <w:r>
      <w:rPr>
        <w:rFonts w:cs="Arial"/>
        <w:noProof/>
        <w:sz w:val="16"/>
        <w:szCs w:val="16"/>
        <w:lang w:eastAsia="en-GB"/>
      </w:rPr>
      <w:drawing>
        <wp:inline distT="0" distB="0" distL="0" distR="0">
          <wp:extent cx="2128520" cy="534035"/>
          <wp:effectExtent l="0" t="0" r="5080" b="0"/>
          <wp:docPr id="5" name="Picture 5" descr="The GORSE Academies Trust WATERMARK 1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RSE Academies Trust WATERMARK 1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8520" cy="534035"/>
                  </a:xfrm>
                  <a:prstGeom prst="rect">
                    <a:avLst/>
                  </a:prstGeom>
                  <a:noFill/>
                  <a:ln>
                    <a:noFill/>
                  </a:ln>
                </pic:spPr>
              </pic:pic>
            </a:graphicData>
          </a:graphic>
        </wp:inline>
      </w:drawing>
    </w:r>
  </w:p>
  <w:p w:rsidR="003300B2" w:rsidRPr="00D70B62" w:rsidRDefault="003300B2">
    <w:pPr>
      <w:pStyle w:val="Header"/>
      <w:rPr>
        <w:rFonts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28E" w:rsidRDefault="00E7728E" w:rsidP="00E7728E">
    <w:pPr>
      <w:pStyle w:val="Header"/>
      <w:tabs>
        <w:tab w:val="clear" w:pos="4513"/>
        <w:tab w:val="clear" w:pos="9026"/>
        <w:tab w:val="right" w:pos="10204"/>
      </w:tabs>
      <w:rPr>
        <w:rFonts w:cs="Arial"/>
        <w:sz w:val="16"/>
        <w:szCs w:val="20"/>
      </w:rPr>
    </w:pPr>
    <w:r>
      <w:rPr>
        <w:noProof/>
        <w:lang w:eastAsia="en-GB"/>
      </w:rPr>
      <w:drawing>
        <wp:inline distT="0" distB="0" distL="0" distR="0">
          <wp:extent cx="1581150" cy="790575"/>
          <wp:effectExtent l="0" t="0" r="0" b="9525"/>
          <wp:docPr id="17" name="Picture 17" descr="BS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p>
  <w:p w:rsidR="00E7728E" w:rsidRDefault="00E7728E" w:rsidP="00E7728E">
    <w:pPr>
      <w:pStyle w:val="Header"/>
      <w:tabs>
        <w:tab w:val="clear" w:pos="4513"/>
        <w:tab w:val="clear" w:pos="9026"/>
        <w:tab w:val="right" w:pos="10204"/>
      </w:tabs>
      <w:rPr>
        <w:rFonts w:cs="Arial"/>
        <w:sz w:val="16"/>
        <w:szCs w:val="20"/>
      </w:rPr>
    </w:pPr>
  </w:p>
  <w:p w:rsidR="00E7728E" w:rsidRDefault="00E7728E" w:rsidP="00E7728E">
    <w:pPr>
      <w:pStyle w:val="Header"/>
      <w:tabs>
        <w:tab w:val="clear" w:pos="4513"/>
        <w:tab w:val="clear" w:pos="9026"/>
        <w:tab w:val="right" w:pos="10204"/>
      </w:tabs>
      <w:rPr>
        <w:rFonts w:cs="Arial"/>
        <w:sz w:val="16"/>
      </w:rPr>
    </w:pPr>
    <w:r>
      <w:rPr>
        <w:rFonts w:cs="Arial"/>
        <w:b/>
        <w:sz w:val="16"/>
      </w:rPr>
      <w:t>Executive Principal: 11-16 Education</w:t>
    </w:r>
    <w:r>
      <w:rPr>
        <w:rFonts w:cs="Arial"/>
        <w:sz w:val="16"/>
      </w:rPr>
      <w:t>: Mrs L Griffiths BSc (Hons) NPQH</w:t>
    </w:r>
  </w:p>
  <w:p w:rsidR="00E7728E" w:rsidRPr="00B21DD8" w:rsidRDefault="00E7728E" w:rsidP="00E7728E">
    <w:pPr>
      <w:pStyle w:val="Header"/>
      <w:tabs>
        <w:tab w:val="clear" w:pos="4513"/>
        <w:tab w:val="clear" w:pos="9026"/>
        <w:tab w:val="right" w:pos="10204"/>
      </w:tabs>
      <w:rPr>
        <w:rFonts w:cs="Arial"/>
        <w:sz w:val="12"/>
      </w:rPr>
    </w:pPr>
    <w:r w:rsidRPr="00B21DD8">
      <w:rPr>
        <w:rFonts w:cs="Arial"/>
        <w:b/>
        <w:sz w:val="16"/>
      </w:rPr>
      <w:t>Principal</w:t>
    </w:r>
    <w:r w:rsidRPr="00B21DD8">
      <w:rPr>
        <w:rFonts w:cs="Arial"/>
        <w:sz w:val="16"/>
      </w:rPr>
      <w:t>:</w:t>
    </w:r>
    <w:r w:rsidRPr="0081349C">
      <w:rPr>
        <w:rFonts w:ascii="Myriad Pro" w:hAnsi="Myriad Pro"/>
      </w:rPr>
      <w:t xml:space="preserve"> </w:t>
    </w:r>
    <w:r>
      <w:rPr>
        <w:rFonts w:cs="Arial"/>
        <w:sz w:val="16"/>
      </w:rPr>
      <w:t>Mr C Walsh BA (Hons</w:t>
    </w:r>
    <w:r w:rsidRPr="0081349C">
      <w:rPr>
        <w:rFonts w:cs="Arial"/>
        <w:sz w:val="16"/>
      </w:rPr>
      <w:t>), MA, NPQH</w:t>
    </w:r>
    <w:r w:rsidRPr="00B21DD8">
      <w:rPr>
        <w:rFonts w:cs="Arial"/>
        <w:sz w:val="12"/>
      </w:rPr>
      <w:tab/>
    </w:r>
    <w:r w:rsidRPr="00B21DD8">
      <w:rPr>
        <w:rFonts w:cs="Arial"/>
        <w:b/>
        <w:sz w:val="16"/>
      </w:rPr>
      <w:t>Chair of Governors</w:t>
    </w:r>
    <w:r w:rsidRPr="00B21DD8">
      <w:rPr>
        <w:rFonts w:cs="Arial"/>
        <w:sz w:val="16"/>
      </w:rPr>
      <w:t xml:space="preserve">: </w:t>
    </w:r>
    <w:r>
      <w:rPr>
        <w:rFonts w:cs="Arial"/>
        <w:sz w:val="16"/>
      </w:rPr>
      <w:t>Mr S Hall</w:t>
    </w:r>
  </w:p>
  <w:p w:rsidR="00E7728E" w:rsidRPr="00B21DD8" w:rsidRDefault="00E7728E" w:rsidP="00E7728E">
    <w:pPr>
      <w:pStyle w:val="Header"/>
      <w:pBdr>
        <w:bottom w:val="single" w:sz="6" w:space="1" w:color="auto"/>
      </w:pBdr>
      <w:tabs>
        <w:tab w:val="clear" w:pos="4513"/>
        <w:tab w:val="clear" w:pos="9026"/>
        <w:tab w:val="right" w:pos="10204"/>
      </w:tabs>
      <w:rPr>
        <w:rFonts w:cs="Arial"/>
        <w:sz w:val="12"/>
      </w:rPr>
    </w:pPr>
  </w:p>
  <w:p w:rsidR="006B3BBF" w:rsidRPr="0083529E" w:rsidRDefault="00C246F6" w:rsidP="00E148BF">
    <w:pPr>
      <w:pStyle w:val="Header"/>
      <w:tabs>
        <w:tab w:val="clear" w:pos="4513"/>
        <w:tab w:val="clear" w:pos="9026"/>
        <w:tab w:val="right" w:pos="10204"/>
      </w:tabs>
      <w:rPr>
        <w:rFonts w:cs="Arial"/>
        <w:sz w:val="16"/>
        <w:szCs w:val="20"/>
      </w:rPr>
    </w:pPr>
    <w:r>
      <w:rPr>
        <w:rFonts w:cs="Arial"/>
        <w:sz w:val="16"/>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767E7"/>
    <w:multiLevelType w:val="hybridMultilevel"/>
    <w:tmpl w:val="8E84D8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5CB9759A"/>
    <w:multiLevelType w:val="hybridMultilevel"/>
    <w:tmpl w:val="D816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9D0EC9"/>
    <w:multiLevelType w:val="hybridMultilevel"/>
    <w:tmpl w:val="4CC21F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6D87138E"/>
    <w:multiLevelType w:val="hybridMultilevel"/>
    <w:tmpl w:val="3254143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2DFC"/>
    <w:rsid w:val="00046719"/>
    <w:rsid w:val="0008145D"/>
    <w:rsid w:val="001923C7"/>
    <w:rsid w:val="00243C82"/>
    <w:rsid w:val="002B65F3"/>
    <w:rsid w:val="003300B2"/>
    <w:rsid w:val="00415B55"/>
    <w:rsid w:val="00420847"/>
    <w:rsid w:val="00451F32"/>
    <w:rsid w:val="00577DFC"/>
    <w:rsid w:val="005B6128"/>
    <w:rsid w:val="005D112E"/>
    <w:rsid w:val="005D6C38"/>
    <w:rsid w:val="005D7F25"/>
    <w:rsid w:val="006B3BBF"/>
    <w:rsid w:val="00702F83"/>
    <w:rsid w:val="00787E68"/>
    <w:rsid w:val="007A260B"/>
    <w:rsid w:val="007A6D8C"/>
    <w:rsid w:val="007C6248"/>
    <w:rsid w:val="00806A63"/>
    <w:rsid w:val="0083529E"/>
    <w:rsid w:val="0084240C"/>
    <w:rsid w:val="0088620D"/>
    <w:rsid w:val="008D4E53"/>
    <w:rsid w:val="00971BDA"/>
    <w:rsid w:val="00986F05"/>
    <w:rsid w:val="009C069D"/>
    <w:rsid w:val="00A12538"/>
    <w:rsid w:val="00AA30E3"/>
    <w:rsid w:val="00B17A95"/>
    <w:rsid w:val="00B21DD8"/>
    <w:rsid w:val="00B74495"/>
    <w:rsid w:val="00BA6E27"/>
    <w:rsid w:val="00BB3A04"/>
    <w:rsid w:val="00C246F6"/>
    <w:rsid w:val="00D70B62"/>
    <w:rsid w:val="00E148BF"/>
    <w:rsid w:val="00E7728E"/>
    <w:rsid w:val="00EE46C9"/>
    <w:rsid w:val="00F03C48"/>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3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D6C38"/>
    <w:pPr>
      <w:ind w:left="720"/>
      <w:contextualSpacing/>
    </w:pPr>
    <w:rPr>
      <w:lang w:val="en-US"/>
    </w:rPr>
  </w:style>
  <w:style w:type="paragraph" w:customStyle="1" w:styleId="p2">
    <w:name w:val="p2"/>
    <w:basedOn w:val="Normal"/>
    <w:rsid w:val="00420847"/>
    <w:pPr>
      <w:widowControl w:val="0"/>
      <w:tabs>
        <w:tab w:val="left" w:pos="374"/>
      </w:tabs>
      <w:autoSpaceDE w:val="0"/>
      <w:autoSpaceDN w:val="0"/>
      <w:adjustRightInd w:val="0"/>
      <w:spacing w:line="277" w:lineRule="atLeast"/>
      <w:ind w:left="1066" w:hanging="374"/>
      <w:jc w:val="left"/>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079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FAC-CD15-47BD-9F17-0489E77EDA38}">
  <ds:schemaRefs>
    <ds:schemaRef ds:uri="http://purl.org/dc/elements/1.1/"/>
    <ds:schemaRef ds:uri="http://schemas.microsoft.com/office/2006/metadata/properties"/>
    <ds:schemaRef ds:uri="e168b4e3-737f-4bcd-ab94-c7ad1aee72f1"/>
    <ds:schemaRef ds:uri="http://purl.org/dc/terms/"/>
    <ds:schemaRef ds:uri="http://schemas.microsoft.com/office/infopath/2007/PartnerControls"/>
    <ds:schemaRef ds:uri="http://schemas.microsoft.com/office/2006/documentManagement/types"/>
    <ds:schemaRef ds:uri="http://purl.org/dc/dcmitype/"/>
    <ds:schemaRef ds:uri="1f2f82df-4629-4c3f-97e9-eede6ac1661d"/>
    <ds:schemaRef ds:uri="http://schemas.openxmlformats.org/package/2006/metadata/core-properties"/>
    <ds:schemaRef ds:uri="16441a10-f7c9-4adf-b7e5-5766db25fd52"/>
    <ds:schemaRef ds:uri="http://www.w3.org/XML/1998/namespace"/>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F4CC4419-AAF5-47C1-9585-3DB9EA5E2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Rushton, Michelle</cp:lastModifiedBy>
  <cp:revision>2</cp:revision>
  <cp:lastPrinted>2019-09-19T14:50:00Z</cp:lastPrinted>
  <dcterms:created xsi:type="dcterms:W3CDTF">2019-09-19T15:46:00Z</dcterms:created>
  <dcterms:modified xsi:type="dcterms:W3CDTF">2019-09-19T15:46:00Z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