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F0BB7" w14:textId="7758DA33" w:rsidR="00EC4615" w:rsidRPr="00EC4615" w:rsidRDefault="00EC4615" w:rsidP="00C158FE">
      <w:pPr>
        <w:jc w:val="both"/>
        <w:rPr>
          <w:rFonts w:ascii="Montserrat" w:hAnsi="Montserrat"/>
          <w:b/>
          <w:bCs/>
          <w:color w:val="AE0600"/>
          <w:sz w:val="56"/>
          <w:szCs w:val="56"/>
        </w:rPr>
      </w:pPr>
      <w:r w:rsidRPr="00EC4615">
        <w:rPr>
          <w:rFonts w:ascii="Montserrat" w:hAnsi="Montserrat"/>
          <w:b/>
          <w:bCs/>
          <w:noProof/>
          <w:color w:val="AE0600"/>
          <w:sz w:val="56"/>
          <w:szCs w:val="56"/>
        </w:rPr>
        <w:drawing>
          <wp:anchor distT="0" distB="0" distL="114300" distR="114300" simplePos="0" relativeHeight="251659264" behindDoc="1" locked="0" layoutInCell="1" allowOverlap="1" wp14:anchorId="0C2153BD" wp14:editId="36CE8D60">
            <wp:simplePos x="0" y="0"/>
            <wp:positionH relativeFrom="column">
              <wp:posOffset>5524500</wp:posOffset>
            </wp:positionH>
            <wp:positionV relativeFrom="paragraph">
              <wp:posOffset>-448945</wp:posOffset>
            </wp:positionV>
            <wp:extent cx="1181100" cy="1181100"/>
            <wp:effectExtent l="0" t="0" r="0" b="0"/>
            <wp:wrapNone/>
            <wp:docPr id="1786493438" name="Picture 5" descr="A red and white circle with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493438" name="Picture 5" descr="A red and white circle with a black background&#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page">
              <wp14:pctWidth>0</wp14:pctWidth>
            </wp14:sizeRelH>
            <wp14:sizeRelV relativeFrom="page">
              <wp14:pctHeight>0</wp14:pctHeight>
            </wp14:sizeRelV>
          </wp:anchor>
        </w:drawing>
      </w:r>
      <w:r w:rsidRPr="00EC4615">
        <w:rPr>
          <w:rFonts w:ascii="Montserrat" w:hAnsi="Montserrat"/>
          <w:b/>
          <w:bCs/>
          <w:color w:val="AE0600"/>
          <w:sz w:val="56"/>
          <w:szCs w:val="56"/>
        </w:rPr>
        <w:t>BRAMHALL HIGH SCHOOL</w:t>
      </w:r>
    </w:p>
    <w:p w14:paraId="2DDD4533" w14:textId="77777777" w:rsidR="00C158FE" w:rsidRPr="00C9333F" w:rsidRDefault="00C158FE" w:rsidP="00C158FE">
      <w:pPr>
        <w:ind w:right="-285"/>
        <w:jc w:val="both"/>
        <w:rPr>
          <w:b/>
          <w:sz w:val="36"/>
        </w:rPr>
      </w:pPr>
      <w:r w:rsidRPr="00C9333F">
        <w:rPr>
          <w:b/>
          <w:sz w:val="36"/>
        </w:rPr>
        <w:t>Safer Recruitment Safeguarding Statement</w:t>
      </w:r>
    </w:p>
    <w:p w14:paraId="1CB479CA" w14:textId="77777777" w:rsidR="00C158FE" w:rsidRPr="00C9333F" w:rsidRDefault="00C158FE" w:rsidP="00C158FE">
      <w:pPr>
        <w:ind w:right="-285"/>
        <w:jc w:val="both"/>
      </w:pPr>
    </w:p>
    <w:p w14:paraId="52B10011" w14:textId="77777777" w:rsidR="00C158FE" w:rsidRPr="00C9333F" w:rsidRDefault="00C158FE" w:rsidP="00C158FE">
      <w:pPr>
        <w:ind w:right="-285"/>
        <w:jc w:val="both"/>
      </w:pPr>
      <w:r w:rsidRPr="00C9333F">
        <w:t xml:space="preserve">The school pays full regard to DfE guidance ‘Keeping Children Safe in Education’ 2021 and with reference to the ‘Position of Trust’ offence (Sexual Offences Act 2003). We ensure that all appropriate measures are applied in relation to everyone who works in the school who is likely to be perceived by the children as a safe and trustworthy adult. </w:t>
      </w:r>
    </w:p>
    <w:p w14:paraId="6B5C632A" w14:textId="77777777" w:rsidR="00C158FE" w:rsidRPr="00C9333F" w:rsidRDefault="00C158FE" w:rsidP="00C158FE">
      <w:pPr>
        <w:ind w:right="-285"/>
        <w:jc w:val="both"/>
      </w:pPr>
    </w:p>
    <w:p w14:paraId="52553E0A" w14:textId="77777777" w:rsidR="00C158FE" w:rsidRPr="00C9333F" w:rsidRDefault="00C158FE" w:rsidP="00C158FE">
      <w:pPr>
        <w:ind w:right="-285"/>
        <w:jc w:val="both"/>
      </w:pPr>
      <w:r w:rsidRPr="00C9333F">
        <w:t>All posts in school are exempt from the Rehabilitation of Offenders Act 1974 and therefore you are required to declare:</w:t>
      </w:r>
    </w:p>
    <w:p w14:paraId="2B39E22C" w14:textId="77777777" w:rsidR="00C158FE" w:rsidRPr="00C9333F" w:rsidRDefault="00C158FE" w:rsidP="00C158FE">
      <w:pPr>
        <w:ind w:right="-285"/>
        <w:jc w:val="both"/>
      </w:pPr>
    </w:p>
    <w:p w14:paraId="66A671F9" w14:textId="77777777" w:rsidR="00C158FE" w:rsidRPr="00C9333F" w:rsidRDefault="00C158FE" w:rsidP="00C158FE">
      <w:pPr>
        <w:tabs>
          <w:tab w:val="left" w:pos="-142"/>
          <w:tab w:val="left" w:pos="284"/>
        </w:tabs>
        <w:ind w:right="-285"/>
        <w:jc w:val="both"/>
      </w:pPr>
      <w:r w:rsidRPr="00C9333F">
        <w:t xml:space="preserve"> • </w:t>
      </w:r>
      <w:r w:rsidRPr="00C9333F">
        <w:tab/>
        <w:t>All unspent convictions and conditional cautions</w:t>
      </w:r>
    </w:p>
    <w:p w14:paraId="1A6F3BF2" w14:textId="77777777" w:rsidR="00C158FE" w:rsidRPr="00C9333F" w:rsidRDefault="00C158FE" w:rsidP="00C158FE">
      <w:pPr>
        <w:tabs>
          <w:tab w:val="left" w:pos="-142"/>
          <w:tab w:val="left" w:pos="284"/>
        </w:tabs>
        <w:ind w:left="284" w:right="-285" w:hanging="284"/>
        <w:jc w:val="both"/>
      </w:pPr>
      <w:r w:rsidRPr="00C9333F">
        <w:t xml:space="preserve"> • </w:t>
      </w:r>
      <w:r w:rsidRPr="00C9333F">
        <w:tab/>
        <w:t>All spent convictions and adult cautions that are not protected (</w:t>
      </w:r>
      <w:proofErr w:type="spellStart"/>
      <w:r w:rsidRPr="00C9333F">
        <w:t>ie</w:t>
      </w:r>
      <w:proofErr w:type="spellEnd"/>
      <w:r w:rsidRPr="00C9333F">
        <w:t xml:space="preserve"> that are not filtered out) as defined by the Rehabilitation of Offenders Act 1974 (Exceptions) order 1975 (as amended in 2013 and 2020)</w:t>
      </w:r>
    </w:p>
    <w:p w14:paraId="385B6844" w14:textId="77777777" w:rsidR="00C158FE" w:rsidRPr="00C9333F" w:rsidRDefault="00C158FE" w:rsidP="00C158FE">
      <w:pPr>
        <w:ind w:right="-285"/>
        <w:jc w:val="both"/>
      </w:pPr>
    </w:p>
    <w:p w14:paraId="25BBB8C5" w14:textId="77777777" w:rsidR="00C158FE" w:rsidRPr="00C9333F" w:rsidRDefault="00C158FE" w:rsidP="00C158FE">
      <w:pPr>
        <w:ind w:right="-285"/>
        <w:jc w:val="both"/>
      </w:pPr>
      <w:r w:rsidRPr="00C9333F">
        <w:t>It is a criminal offence for an individual who is barred from working with children to apply for a role which is classed as regulated activity (</w:t>
      </w:r>
      <w:proofErr w:type="spellStart"/>
      <w:r w:rsidRPr="00C9333F">
        <w:t>ie</w:t>
      </w:r>
      <w:proofErr w:type="spellEnd"/>
      <w:r w:rsidRPr="00C9333F">
        <w:t xml:space="preserve"> involves working unsupervised with children).</w:t>
      </w:r>
    </w:p>
    <w:p w14:paraId="2DAC1CA8" w14:textId="77777777" w:rsidR="00C158FE" w:rsidRPr="00C9333F" w:rsidRDefault="00C158FE" w:rsidP="00C158FE">
      <w:pPr>
        <w:ind w:right="-285"/>
        <w:jc w:val="both"/>
      </w:pPr>
    </w:p>
    <w:p w14:paraId="3ED4309F" w14:textId="77777777" w:rsidR="00C158FE" w:rsidRPr="00C9333F" w:rsidRDefault="00C158FE" w:rsidP="00C158FE">
      <w:pPr>
        <w:ind w:right="-285"/>
        <w:jc w:val="both"/>
      </w:pPr>
      <w:r w:rsidRPr="00C9333F">
        <w:t xml:space="preserve">The school will: </w:t>
      </w:r>
    </w:p>
    <w:p w14:paraId="6D5A2A90" w14:textId="77777777" w:rsidR="00C158FE" w:rsidRPr="00C9333F" w:rsidRDefault="00C158FE" w:rsidP="00C158FE">
      <w:pPr>
        <w:ind w:right="-285"/>
        <w:jc w:val="both"/>
      </w:pPr>
    </w:p>
    <w:p w14:paraId="371FB83F" w14:textId="77777777" w:rsidR="00C158FE" w:rsidRPr="00C9333F" w:rsidRDefault="00C158FE" w:rsidP="00C158FE">
      <w:pPr>
        <w:numPr>
          <w:ilvl w:val="0"/>
          <w:numId w:val="13"/>
        </w:numPr>
        <w:tabs>
          <w:tab w:val="left" w:pos="294"/>
          <w:tab w:val="left" w:pos="567"/>
        </w:tabs>
        <w:ind w:left="0" w:right="-285" w:hanging="14"/>
        <w:jc w:val="both"/>
      </w:pPr>
      <w:r w:rsidRPr="00C9333F">
        <w:t>Implement robust recruitment procedures and checks for appointing staff and volunteers to ensure that reasonable steps are taken not to appoint a person who is unsuitable to work with children, or who is disqualified from working with children, or does not have the suitable skills and experience for the intended role.</w:t>
      </w:r>
    </w:p>
    <w:p w14:paraId="56EC0BF2" w14:textId="77777777" w:rsidR="00C158FE" w:rsidRPr="00C9333F" w:rsidRDefault="00C158FE" w:rsidP="00C158FE">
      <w:pPr>
        <w:ind w:right="-285"/>
        <w:jc w:val="both"/>
        <w:rPr>
          <w:b/>
          <w:bCs/>
          <w:sz w:val="18"/>
        </w:rPr>
      </w:pPr>
    </w:p>
    <w:p w14:paraId="3893328F" w14:textId="77777777" w:rsidR="00C158FE" w:rsidRPr="00C9333F" w:rsidRDefault="00C158FE" w:rsidP="00C158FE">
      <w:pPr>
        <w:ind w:right="-285"/>
        <w:jc w:val="both"/>
      </w:pPr>
      <w:r w:rsidRPr="00C9333F">
        <w:t xml:space="preserve"> The following pre-employment checks will be undertaken:</w:t>
      </w:r>
    </w:p>
    <w:p w14:paraId="02076428" w14:textId="77777777" w:rsidR="00C158FE" w:rsidRPr="00C9333F" w:rsidRDefault="00C158FE" w:rsidP="00C158FE">
      <w:pPr>
        <w:ind w:right="-285"/>
        <w:jc w:val="both"/>
      </w:pPr>
    </w:p>
    <w:p w14:paraId="7099FB97" w14:textId="77777777" w:rsidR="00C158FE" w:rsidRPr="00C9333F" w:rsidRDefault="00C158FE" w:rsidP="00C158FE">
      <w:pPr>
        <w:tabs>
          <w:tab w:val="left" w:pos="284"/>
          <w:tab w:val="left" w:pos="567"/>
          <w:tab w:val="left" w:pos="709"/>
        </w:tabs>
        <w:ind w:left="588" w:right="-285" w:hanging="304"/>
        <w:jc w:val="both"/>
      </w:pPr>
      <w:r w:rsidRPr="00C9333F">
        <w:t>•</w:t>
      </w:r>
      <w:r w:rsidRPr="00C9333F">
        <w:tab/>
        <w:t>Receipt of at least two satisfactory references.</w:t>
      </w:r>
    </w:p>
    <w:p w14:paraId="5E55BE60" w14:textId="77777777" w:rsidR="00C158FE" w:rsidRPr="00C9333F" w:rsidRDefault="00C158FE" w:rsidP="00C158FE">
      <w:pPr>
        <w:tabs>
          <w:tab w:val="left" w:pos="284"/>
          <w:tab w:val="left" w:pos="567"/>
          <w:tab w:val="left" w:pos="709"/>
        </w:tabs>
        <w:ind w:left="588" w:right="-285" w:hanging="304"/>
        <w:jc w:val="both"/>
      </w:pPr>
      <w:r w:rsidRPr="00C9333F">
        <w:t xml:space="preserve">• </w:t>
      </w:r>
      <w:r w:rsidRPr="00C9333F">
        <w:tab/>
        <w:t>Verification of the candidate’s identity.</w:t>
      </w:r>
    </w:p>
    <w:p w14:paraId="1A7556A6" w14:textId="77777777" w:rsidR="00C158FE" w:rsidRPr="00C9333F" w:rsidRDefault="00C158FE" w:rsidP="00C158FE">
      <w:pPr>
        <w:tabs>
          <w:tab w:val="left" w:pos="284"/>
          <w:tab w:val="left" w:pos="567"/>
          <w:tab w:val="left" w:pos="709"/>
        </w:tabs>
        <w:ind w:left="588" w:right="-285" w:hanging="304"/>
        <w:jc w:val="both"/>
      </w:pPr>
      <w:r w:rsidRPr="00C9333F">
        <w:t xml:space="preserve">• </w:t>
      </w:r>
      <w:r w:rsidRPr="00C9333F">
        <w:tab/>
        <w:t>A children’s Barred list check (when undertaking regulated activity).</w:t>
      </w:r>
    </w:p>
    <w:p w14:paraId="2289D5C1" w14:textId="2C4BC0F1" w:rsidR="00C158FE" w:rsidRPr="00C9333F" w:rsidRDefault="00C158FE" w:rsidP="00C158FE">
      <w:pPr>
        <w:tabs>
          <w:tab w:val="left" w:pos="284"/>
          <w:tab w:val="left" w:pos="567"/>
          <w:tab w:val="left" w:pos="709"/>
        </w:tabs>
        <w:ind w:left="588" w:right="-285"/>
        <w:jc w:val="both"/>
      </w:pPr>
      <w:r w:rsidRPr="00C9333F">
        <w:t>A satisfactory enhanced DBS disclosure.</w:t>
      </w:r>
    </w:p>
    <w:p w14:paraId="1CDA107A" w14:textId="0637F8AD" w:rsidR="00C158FE" w:rsidRPr="00C9333F" w:rsidRDefault="00C158FE" w:rsidP="00C158FE">
      <w:pPr>
        <w:numPr>
          <w:ilvl w:val="0"/>
          <w:numId w:val="14"/>
        </w:numPr>
        <w:tabs>
          <w:tab w:val="left" w:pos="284"/>
          <w:tab w:val="left" w:pos="567"/>
          <w:tab w:val="left" w:pos="709"/>
        </w:tabs>
        <w:ind w:left="588" w:right="-285" w:hanging="304"/>
        <w:jc w:val="both"/>
      </w:pPr>
      <w:r w:rsidRPr="00C9333F">
        <w:t>A prohibition from teaching check (teachers only).</w:t>
      </w:r>
    </w:p>
    <w:p w14:paraId="74B6D71B" w14:textId="77777777" w:rsidR="00C158FE" w:rsidRPr="00C9333F" w:rsidRDefault="00C158FE" w:rsidP="00C158FE">
      <w:pPr>
        <w:tabs>
          <w:tab w:val="left" w:pos="284"/>
          <w:tab w:val="left" w:pos="567"/>
          <w:tab w:val="left" w:pos="709"/>
        </w:tabs>
        <w:ind w:left="588" w:right="-285" w:hanging="304"/>
        <w:jc w:val="both"/>
      </w:pPr>
      <w:r w:rsidRPr="00C9333F">
        <w:t xml:space="preserve">• </w:t>
      </w:r>
      <w:r w:rsidRPr="00C9333F">
        <w:tab/>
        <w:t>Verification of the candidate’s medical fitness.</w:t>
      </w:r>
    </w:p>
    <w:p w14:paraId="25672F41" w14:textId="77777777" w:rsidR="00C158FE" w:rsidRPr="00C9333F" w:rsidRDefault="00C158FE" w:rsidP="00C158FE">
      <w:pPr>
        <w:tabs>
          <w:tab w:val="left" w:pos="284"/>
          <w:tab w:val="left" w:pos="567"/>
          <w:tab w:val="left" w:pos="709"/>
        </w:tabs>
        <w:ind w:left="588" w:right="-285" w:hanging="304"/>
        <w:jc w:val="both"/>
      </w:pPr>
      <w:r w:rsidRPr="00C9333F">
        <w:t xml:space="preserve">• </w:t>
      </w:r>
      <w:r w:rsidRPr="00C9333F">
        <w:tab/>
        <w:t>Verification of qualifications.</w:t>
      </w:r>
    </w:p>
    <w:p w14:paraId="028CA19D" w14:textId="77777777" w:rsidR="00C158FE" w:rsidRPr="00C9333F" w:rsidRDefault="00C158FE" w:rsidP="00C158FE">
      <w:pPr>
        <w:numPr>
          <w:ilvl w:val="0"/>
          <w:numId w:val="14"/>
        </w:numPr>
        <w:tabs>
          <w:tab w:val="left" w:pos="284"/>
          <w:tab w:val="left" w:pos="567"/>
          <w:tab w:val="left" w:pos="709"/>
        </w:tabs>
        <w:ind w:left="588" w:right="-285" w:hanging="304"/>
        <w:jc w:val="both"/>
      </w:pPr>
      <w:r w:rsidRPr="00C9333F">
        <w:tab/>
        <w:t xml:space="preserve">Verification of professional status where required </w:t>
      </w:r>
      <w:proofErr w:type="spellStart"/>
      <w:r w:rsidRPr="00C9333F">
        <w:t>eg</w:t>
      </w:r>
      <w:proofErr w:type="spellEnd"/>
      <w:r w:rsidRPr="00C9333F">
        <w:t xml:space="preserve"> QTS status.</w:t>
      </w:r>
    </w:p>
    <w:p w14:paraId="6820C512" w14:textId="7135AAF3" w:rsidR="00C158FE" w:rsidRPr="00C9333F" w:rsidRDefault="00C158FE" w:rsidP="00C158FE">
      <w:pPr>
        <w:numPr>
          <w:ilvl w:val="0"/>
          <w:numId w:val="14"/>
        </w:numPr>
        <w:tabs>
          <w:tab w:val="left" w:pos="284"/>
          <w:tab w:val="left" w:pos="567"/>
          <w:tab w:val="left" w:pos="709"/>
        </w:tabs>
        <w:ind w:left="588" w:right="-285" w:hanging="304"/>
        <w:jc w:val="both"/>
      </w:pPr>
      <w:r w:rsidRPr="00C9333F">
        <w:tab/>
        <w:t>The production of evidence of the right to work in the UK.</w:t>
      </w:r>
    </w:p>
    <w:p w14:paraId="4C3536DB" w14:textId="32EC1E78" w:rsidR="00C158FE" w:rsidRPr="00C9333F" w:rsidRDefault="00C158FE" w:rsidP="00C158FE">
      <w:pPr>
        <w:numPr>
          <w:ilvl w:val="0"/>
          <w:numId w:val="14"/>
        </w:numPr>
        <w:tabs>
          <w:tab w:val="left" w:pos="284"/>
          <w:tab w:val="left" w:pos="567"/>
          <w:tab w:val="left" w:pos="709"/>
        </w:tabs>
        <w:ind w:left="588" w:right="-285" w:hanging="304"/>
        <w:jc w:val="both"/>
      </w:pPr>
      <w:r w:rsidRPr="00C9333F">
        <w:tab/>
        <w:t>(For teaching posts) verification of successful completion of statutory induction period (applies to those how obtained QTS after 7 May 1999).</w:t>
      </w:r>
    </w:p>
    <w:p w14:paraId="30864EF2" w14:textId="77777777" w:rsidR="00C158FE" w:rsidRPr="00C9333F" w:rsidRDefault="00C158FE" w:rsidP="00C158FE">
      <w:pPr>
        <w:tabs>
          <w:tab w:val="left" w:pos="284"/>
          <w:tab w:val="left" w:pos="567"/>
          <w:tab w:val="left" w:pos="709"/>
        </w:tabs>
        <w:ind w:left="588" w:right="-285" w:hanging="304"/>
        <w:jc w:val="both"/>
      </w:pPr>
      <w:r w:rsidRPr="00C9333F">
        <w:t xml:space="preserve">• </w:t>
      </w:r>
      <w:r w:rsidRPr="00C9333F">
        <w:tab/>
        <w:t xml:space="preserve">If the person has lived or worked outside the UK, make any further checks the school consider appropriate. </w:t>
      </w:r>
    </w:p>
    <w:p w14:paraId="2B8F5628" w14:textId="77777777" w:rsidR="00C158FE" w:rsidRPr="00C9333F" w:rsidRDefault="00C158FE" w:rsidP="00C158FE">
      <w:pPr>
        <w:tabs>
          <w:tab w:val="left" w:pos="284"/>
          <w:tab w:val="left" w:pos="567"/>
          <w:tab w:val="left" w:pos="709"/>
        </w:tabs>
        <w:ind w:left="588" w:right="-285" w:hanging="304"/>
        <w:jc w:val="both"/>
      </w:pPr>
    </w:p>
    <w:p w14:paraId="34E917DF" w14:textId="77777777" w:rsidR="00C158FE" w:rsidRPr="00C9333F" w:rsidRDefault="00C158FE" w:rsidP="00C158FE">
      <w:pPr>
        <w:tabs>
          <w:tab w:val="left" w:pos="140"/>
          <w:tab w:val="left" w:pos="284"/>
          <w:tab w:val="left" w:pos="567"/>
          <w:tab w:val="left" w:pos="709"/>
        </w:tabs>
        <w:ind w:left="588" w:right="-285" w:hanging="304"/>
        <w:jc w:val="both"/>
      </w:pPr>
      <w:r w:rsidRPr="00C9333F">
        <w:t xml:space="preserve">2. </w:t>
      </w:r>
      <w:r w:rsidRPr="00C9333F">
        <w:tab/>
        <w:t xml:space="preserve">Keep and maintain a single central record of recruitment and vetting checks, in line with the </w:t>
      </w:r>
      <w:proofErr w:type="spellStart"/>
      <w:r w:rsidRPr="00C9333F">
        <w:t>Dfe</w:t>
      </w:r>
      <w:proofErr w:type="spellEnd"/>
      <w:r w:rsidRPr="00C9333F">
        <w:t xml:space="preserve"> requirements. </w:t>
      </w:r>
    </w:p>
    <w:p w14:paraId="6D458998" w14:textId="77777777" w:rsidR="00C158FE" w:rsidRPr="00C9333F" w:rsidRDefault="00C158FE" w:rsidP="00C158FE">
      <w:pPr>
        <w:tabs>
          <w:tab w:val="left" w:pos="284"/>
          <w:tab w:val="left" w:pos="504"/>
          <w:tab w:val="left" w:pos="567"/>
          <w:tab w:val="left" w:pos="709"/>
        </w:tabs>
        <w:ind w:left="588" w:right="-285" w:hanging="304"/>
        <w:jc w:val="both"/>
      </w:pPr>
    </w:p>
    <w:p w14:paraId="1FBC8647" w14:textId="77777777" w:rsidR="00C158FE" w:rsidRPr="00C9333F" w:rsidRDefault="00C158FE" w:rsidP="00C158FE">
      <w:pPr>
        <w:tabs>
          <w:tab w:val="left" w:pos="168"/>
          <w:tab w:val="left" w:pos="284"/>
          <w:tab w:val="left" w:pos="567"/>
          <w:tab w:val="left" w:pos="709"/>
        </w:tabs>
        <w:ind w:left="588" w:right="-285" w:hanging="304"/>
        <w:jc w:val="both"/>
      </w:pPr>
      <w:r w:rsidRPr="00C9333F">
        <w:t xml:space="preserve">3. </w:t>
      </w:r>
      <w:r w:rsidRPr="00C9333F">
        <w:tab/>
        <w:t xml:space="preserve">Ensure that the terms of any contract with a contractor or agency requires them to adopt and implement measures described in this procedure. The school will monitor the compliance with these measures. </w:t>
      </w:r>
    </w:p>
    <w:p w14:paraId="1E782797" w14:textId="77777777" w:rsidR="00C158FE" w:rsidRPr="00C9333F" w:rsidRDefault="00C158FE" w:rsidP="00C158FE">
      <w:pPr>
        <w:tabs>
          <w:tab w:val="left" w:pos="168"/>
          <w:tab w:val="left" w:pos="284"/>
          <w:tab w:val="left" w:pos="567"/>
          <w:tab w:val="left" w:pos="709"/>
        </w:tabs>
        <w:ind w:left="588" w:right="-285" w:hanging="304"/>
        <w:jc w:val="both"/>
      </w:pPr>
    </w:p>
    <w:p w14:paraId="02937E83" w14:textId="77777777" w:rsidR="00C158FE" w:rsidRPr="00C9333F" w:rsidRDefault="00C158FE" w:rsidP="00C158FE">
      <w:pPr>
        <w:tabs>
          <w:tab w:val="left" w:pos="168"/>
          <w:tab w:val="left" w:pos="284"/>
          <w:tab w:val="left" w:pos="567"/>
          <w:tab w:val="left" w:pos="709"/>
        </w:tabs>
        <w:ind w:left="588" w:right="-285" w:hanging="304"/>
        <w:jc w:val="both"/>
      </w:pPr>
      <w:r w:rsidRPr="00C9333F">
        <w:t xml:space="preserve">4. </w:t>
      </w:r>
      <w:r w:rsidRPr="00C9333F">
        <w:tab/>
        <w:t xml:space="preserve">Require staff who are convicted or cautioned for any offence during their employment with the school, to notify the school in writing of the offence and penalty. </w:t>
      </w:r>
    </w:p>
    <w:p w14:paraId="6F6912F9" w14:textId="77777777" w:rsidR="00C158FE" w:rsidRPr="00C9333F" w:rsidRDefault="00C158FE" w:rsidP="00C158FE">
      <w:pPr>
        <w:tabs>
          <w:tab w:val="left" w:pos="168"/>
          <w:tab w:val="left" w:pos="284"/>
          <w:tab w:val="left" w:pos="567"/>
          <w:tab w:val="left" w:pos="709"/>
        </w:tabs>
        <w:ind w:left="588" w:right="-285" w:hanging="304"/>
        <w:jc w:val="both"/>
      </w:pPr>
    </w:p>
    <w:p w14:paraId="2D09BAD2" w14:textId="77777777" w:rsidR="00C158FE" w:rsidRPr="00C9333F" w:rsidRDefault="00C158FE" w:rsidP="00C158FE">
      <w:pPr>
        <w:tabs>
          <w:tab w:val="left" w:pos="168"/>
          <w:tab w:val="left" w:pos="284"/>
          <w:tab w:val="left" w:pos="567"/>
          <w:tab w:val="left" w:pos="709"/>
        </w:tabs>
        <w:ind w:left="588" w:right="-285" w:hanging="304"/>
        <w:jc w:val="both"/>
        <w:rPr>
          <w:b/>
          <w:bCs/>
          <w:sz w:val="18"/>
        </w:rPr>
      </w:pPr>
      <w:r w:rsidRPr="00C9333F">
        <w:t xml:space="preserve">5. </w:t>
      </w:r>
      <w:r w:rsidRPr="00C9333F">
        <w:tab/>
        <w:t>The school will refer to the Local Authority any individuals who give cause for concern and will refer individuals to the Disclosure and Barring service as required for possible inclusion on the Children’s Barred List.</w:t>
      </w:r>
    </w:p>
    <w:p w14:paraId="0EF9002F" w14:textId="77777777" w:rsidR="004263FD" w:rsidRPr="006D6E1B" w:rsidRDefault="004263FD" w:rsidP="00C158FE">
      <w:pPr>
        <w:tabs>
          <w:tab w:val="left" w:pos="284"/>
          <w:tab w:val="left" w:pos="567"/>
          <w:tab w:val="left" w:pos="709"/>
          <w:tab w:val="left" w:pos="2007"/>
          <w:tab w:val="left" w:pos="11638"/>
        </w:tabs>
        <w:ind w:left="588" w:hanging="304"/>
        <w:jc w:val="both"/>
        <w:rPr>
          <w:rFonts w:ascii="Verdana" w:hAnsi="Verdana"/>
          <w:sz w:val="20"/>
          <w:szCs w:val="20"/>
        </w:rPr>
      </w:pPr>
    </w:p>
    <w:p w14:paraId="0FC8976C" w14:textId="63DAEC7C" w:rsidR="00A76CCB" w:rsidRDefault="00A76CCB" w:rsidP="00C158FE">
      <w:pPr>
        <w:jc w:val="both"/>
        <w:rPr>
          <w:rFonts w:ascii="Montserrat" w:hAnsi="Montserrat"/>
          <w:b/>
          <w:bCs/>
          <w:color w:val="000000" w:themeColor="text1"/>
          <w:sz w:val="24"/>
          <w:szCs w:val="24"/>
        </w:rPr>
      </w:pPr>
    </w:p>
    <w:sectPr w:rsidR="00A76CCB" w:rsidSect="00C158FE">
      <w:headerReference w:type="default" r:id="rId11"/>
      <w:pgSz w:w="11906" w:h="16838"/>
      <w:pgMar w:top="720" w:right="991"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EF773" w14:textId="77777777" w:rsidR="00C556BE" w:rsidRDefault="00C556BE" w:rsidP="00EC4615">
      <w:r>
        <w:separator/>
      </w:r>
    </w:p>
  </w:endnote>
  <w:endnote w:type="continuationSeparator" w:id="0">
    <w:p w14:paraId="25388C5F" w14:textId="77777777" w:rsidR="00C556BE" w:rsidRDefault="00C556BE" w:rsidP="00EC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23AD3" w14:textId="77777777" w:rsidR="00C556BE" w:rsidRDefault="00C556BE" w:rsidP="00EC4615">
      <w:r>
        <w:separator/>
      </w:r>
    </w:p>
  </w:footnote>
  <w:footnote w:type="continuationSeparator" w:id="0">
    <w:p w14:paraId="04990FB0" w14:textId="77777777" w:rsidR="00C556BE" w:rsidRDefault="00C556BE" w:rsidP="00EC4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E06B" w14:textId="59BF4CD3" w:rsidR="00A76CCB" w:rsidRDefault="00A76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25874"/>
    <w:multiLevelType w:val="hybridMultilevel"/>
    <w:tmpl w:val="2996C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824E7"/>
    <w:multiLevelType w:val="hybridMultilevel"/>
    <w:tmpl w:val="C2945406"/>
    <w:lvl w:ilvl="0" w:tplc="E38E7C12">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9A93D88"/>
    <w:multiLevelType w:val="hybridMultilevel"/>
    <w:tmpl w:val="8018B5F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3B3D5A5C"/>
    <w:multiLevelType w:val="hybridMultilevel"/>
    <w:tmpl w:val="A59CE3C6"/>
    <w:lvl w:ilvl="0" w:tplc="E38E7C12">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BC240F7"/>
    <w:multiLevelType w:val="hybridMultilevel"/>
    <w:tmpl w:val="FE1047C2"/>
    <w:lvl w:ilvl="0" w:tplc="E38E7C12">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3E05155A"/>
    <w:multiLevelType w:val="hybridMultilevel"/>
    <w:tmpl w:val="F19ECBC8"/>
    <w:lvl w:ilvl="0" w:tplc="D3AC05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4AB25A8"/>
    <w:multiLevelType w:val="hybridMultilevel"/>
    <w:tmpl w:val="AC52485E"/>
    <w:lvl w:ilvl="0" w:tplc="E38E7C12">
      <w:numFmt w:val="bullet"/>
      <w:lvlText w:val="-"/>
      <w:lvlJc w:val="left"/>
      <w:pPr>
        <w:tabs>
          <w:tab w:val="num" w:pos="1440"/>
        </w:tabs>
        <w:ind w:left="144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6B3512"/>
    <w:multiLevelType w:val="hybridMultilevel"/>
    <w:tmpl w:val="84D8C5B4"/>
    <w:lvl w:ilvl="0" w:tplc="AF3AD22C">
      <w:start w:val="4"/>
      <w:numFmt w:val="bullet"/>
      <w:lvlText w:val="•"/>
      <w:lvlJc w:val="left"/>
      <w:pPr>
        <w:ind w:left="-66" w:hanging="360"/>
      </w:pPr>
      <w:rPr>
        <w:rFonts w:ascii="Calibri" w:eastAsia="Times New Roman" w:hAnsi="Calibri" w:cs="Calibri"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8" w15:restartNumberingAfterBreak="0">
    <w:nsid w:val="507F6B4F"/>
    <w:multiLevelType w:val="hybridMultilevel"/>
    <w:tmpl w:val="5F76CA84"/>
    <w:lvl w:ilvl="0" w:tplc="E38E7C12">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94F73D7"/>
    <w:multiLevelType w:val="hybridMultilevel"/>
    <w:tmpl w:val="A896EEEC"/>
    <w:lvl w:ilvl="0" w:tplc="E38E7C12">
      <w:numFmt w:val="bullet"/>
      <w:lvlText w:val="-"/>
      <w:lvlJc w:val="left"/>
      <w:pPr>
        <w:tabs>
          <w:tab w:val="num" w:pos="1440"/>
        </w:tabs>
        <w:ind w:left="144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CC2F74"/>
    <w:multiLevelType w:val="hybridMultilevel"/>
    <w:tmpl w:val="7DD280B8"/>
    <w:lvl w:ilvl="0" w:tplc="E38E7C12">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4902F88"/>
    <w:multiLevelType w:val="hybridMultilevel"/>
    <w:tmpl w:val="497CACC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70A663D0"/>
    <w:multiLevelType w:val="hybridMultilevel"/>
    <w:tmpl w:val="892E4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DA0588"/>
    <w:multiLevelType w:val="hybridMultilevel"/>
    <w:tmpl w:val="FD5EA48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240024504">
    <w:abstractNumId w:val="2"/>
  </w:num>
  <w:num w:numId="2" w16cid:durableId="1341737597">
    <w:abstractNumId w:val="13"/>
  </w:num>
  <w:num w:numId="3" w16cid:durableId="652369766">
    <w:abstractNumId w:val="11"/>
  </w:num>
  <w:num w:numId="4" w16cid:durableId="1891260112">
    <w:abstractNumId w:val="12"/>
  </w:num>
  <w:num w:numId="5" w16cid:durableId="419063970">
    <w:abstractNumId w:val="0"/>
  </w:num>
  <w:num w:numId="6" w16cid:durableId="514005042">
    <w:abstractNumId w:val="4"/>
  </w:num>
  <w:num w:numId="7" w16cid:durableId="1464159281">
    <w:abstractNumId w:val="1"/>
  </w:num>
  <w:num w:numId="8" w16cid:durableId="197740572">
    <w:abstractNumId w:val="10"/>
  </w:num>
  <w:num w:numId="9" w16cid:durableId="1869171766">
    <w:abstractNumId w:val="6"/>
  </w:num>
  <w:num w:numId="10" w16cid:durableId="324211224">
    <w:abstractNumId w:val="8"/>
  </w:num>
  <w:num w:numId="11" w16cid:durableId="2111661390">
    <w:abstractNumId w:val="9"/>
  </w:num>
  <w:num w:numId="12" w16cid:durableId="860585033">
    <w:abstractNumId w:val="3"/>
  </w:num>
  <w:num w:numId="13" w16cid:durableId="1962879666">
    <w:abstractNumId w:val="5"/>
  </w:num>
  <w:num w:numId="14" w16cid:durableId="15188890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45"/>
    <w:rsid w:val="00050F8F"/>
    <w:rsid w:val="00097039"/>
    <w:rsid w:val="000E3145"/>
    <w:rsid w:val="00122FE4"/>
    <w:rsid w:val="00132E0C"/>
    <w:rsid w:val="00153ED2"/>
    <w:rsid w:val="002157D5"/>
    <w:rsid w:val="0022478D"/>
    <w:rsid w:val="003A7543"/>
    <w:rsid w:val="00417755"/>
    <w:rsid w:val="004263FD"/>
    <w:rsid w:val="00472C4D"/>
    <w:rsid w:val="004A33C8"/>
    <w:rsid w:val="00505599"/>
    <w:rsid w:val="00512D7A"/>
    <w:rsid w:val="0053182E"/>
    <w:rsid w:val="00535EE8"/>
    <w:rsid w:val="0055543C"/>
    <w:rsid w:val="00606F92"/>
    <w:rsid w:val="00674B01"/>
    <w:rsid w:val="006E6294"/>
    <w:rsid w:val="0084221F"/>
    <w:rsid w:val="00987871"/>
    <w:rsid w:val="009F17C5"/>
    <w:rsid w:val="00A76CCB"/>
    <w:rsid w:val="00AB13E4"/>
    <w:rsid w:val="00B663C0"/>
    <w:rsid w:val="00C158FE"/>
    <w:rsid w:val="00C208C9"/>
    <w:rsid w:val="00C556BE"/>
    <w:rsid w:val="00C96577"/>
    <w:rsid w:val="00CF0223"/>
    <w:rsid w:val="00D33141"/>
    <w:rsid w:val="00D547B4"/>
    <w:rsid w:val="00EC4615"/>
    <w:rsid w:val="00F91F6F"/>
    <w:rsid w:val="00F95AF4"/>
    <w:rsid w:val="00FB1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FD209"/>
  <w15:chartTrackingRefBased/>
  <w15:docId w15:val="{149C2BF8-A599-4D68-AEDA-6F463F79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145"/>
    <w:pPr>
      <w:spacing w:after="0" w:line="240" w:lineRule="auto"/>
    </w:pPr>
    <w:rPr>
      <w:rFonts w:ascii="Calibri" w:hAnsi="Calibri" w:cs="Calibri"/>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145"/>
    <w:pPr>
      <w:ind w:left="720"/>
    </w:pPr>
  </w:style>
  <w:style w:type="paragraph" w:styleId="Header">
    <w:name w:val="header"/>
    <w:basedOn w:val="Normal"/>
    <w:link w:val="HeaderChar"/>
    <w:uiPriority w:val="99"/>
    <w:unhideWhenUsed/>
    <w:rsid w:val="00EC4615"/>
    <w:pPr>
      <w:tabs>
        <w:tab w:val="center" w:pos="4513"/>
        <w:tab w:val="right" w:pos="9026"/>
      </w:tabs>
    </w:pPr>
  </w:style>
  <w:style w:type="character" w:customStyle="1" w:styleId="HeaderChar">
    <w:name w:val="Header Char"/>
    <w:basedOn w:val="DefaultParagraphFont"/>
    <w:link w:val="Header"/>
    <w:uiPriority w:val="99"/>
    <w:rsid w:val="00EC4615"/>
    <w:rPr>
      <w:rFonts w:ascii="Calibri" w:hAnsi="Calibri" w:cs="Calibri"/>
      <w:lang w:eastAsia="en-GB"/>
      <w14:ligatures w14:val="standardContextual"/>
    </w:rPr>
  </w:style>
  <w:style w:type="paragraph" w:styleId="Footer">
    <w:name w:val="footer"/>
    <w:basedOn w:val="Normal"/>
    <w:link w:val="FooterChar"/>
    <w:uiPriority w:val="99"/>
    <w:unhideWhenUsed/>
    <w:rsid w:val="00EC4615"/>
    <w:pPr>
      <w:tabs>
        <w:tab w:val="center" w:pos="4513"/>
        <w:tab w:val="right" w:pos="9026"/>
      </w:tabs>
    </w:pPr>
  </w:style>
  <w:style w:type="character" w:customStyle="1" w:styleId="FooterChar">
    <w:name w:val="Footer Char"/>
    <w:basedOn w:val="DefaultParagraphFont"/>
    <w:link w:val="Footer"/>
    <w:uiPriority w:val="99"/>
    <w:rsid w:val="00EC4615"/>
    <w:rPr>
      <w:rFonts w:ascii="Calibri" w:hAnsi="Calibri" w:cs="Calibri"/>
      <w:lang w:eastAsia="en-GB"/>
      <w14:ligatures w14:val="standardContextual"/>
    </w:rPr>
  </w:style>
  <w:style w:type="table" w:styleId="TableGrid">
    <w:name w:val="Table Grid"/>
    <w:basedOn w:val="TableNormal"/>
    <w:uiPriority w:val="39"/>
    <w:rsid w:val="00A76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76CC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06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7eb6d54-afea-428c-937d-c1d1a890c0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BD1EA561FED34AB94191E762C9083E" ma:contentTypeVersion="14" ma:contentTypeDescription="Create a new document." ma:contentTypeScope="" ma:versionID="01768648e7488c001aad6fb891724b3a">
  <xsd:schema xmlns:xsd="http://www.w3.org/2001/XMLSchema" xmlns:xs="http://www.w3.org/2001/XMLSchema" xmlns:p="http://schemas.microsoft.com/office/2006/metadata/properties" xmlns:ns3="f7eb6d54-afea-428c-937d-c1d1a890c05d" xmlns:ns4="8b8158ac-2e04-4f8d-a6e9-fe4cd4dc2146" targetNamespace="http://schemas.microsoft.com/office/2006/metadata/properties" ma:root="true" ma:fieldsID="a3a223b56edd2dbacc228855a43b7402" ns3:_="" ns4:_="">
    <xsd:import namespace="f7eb6d54-afea-428c-937d-c1d1a890c05d"/>
    <xsd:import namespace="8b8158ac-2e04-4f8d-a6e9-fe4cd4dc214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b6d54-afea-428c-937d-c1d1a890c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8158ac-2e04-4f8d-a6e9-fe4cd4dc21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800FD-407C-4447-92BB-9168F91BD2F2}">
  <ds:schemaRefs>
    <ds:schemaRef ds:uri="http://purl.org/dc/terms/"/>
    <ds:schemaRef ds:uri="http://schemas.microsoft.com/office/2006/documentManagement/types"/>
    <ds:schemaRef ds:uri="http://purl.org/dc/elements/1.1/"/>
    <ds:schemaRef ds:uri="http://purl.org/dc/dcmitype/"/>
    <ds:schemaRef ds:uri="f7eb6d54-afea-428c-937d-c1d1a890c05d"/>
    <ds:schemaRef ds:uri="http://schemas.microsoft.com/office/infopath/2007/PartnerControls"/>
    <ds:schemaRef ds:uri="8b8158ac-2e04-4f8d-a6e9-fe4cd4dc2146"/>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BDA8080-BD48-4A39-A8F6-BEF7BF2B2FA2}">
  <ds:schemaRefs>
    <ds:schemaRef ds:uri="http://schemas.microsoft.com/sharepoint/v3/contenttype/forms"/>
  </ds:schemaRefs>
</ds:datastoreItem>
</file>

<file path=customXml/itemProps3.xml><?xml version="1.0" encoding="utf-8"?>
<ds:datastoreItem xmlns:ds="http://schemas.openxmlformats.org/officeDocument/2006/customXml" ds:itemID="{5F84E692-4797-4DC3-A005-D23899A8B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b6d54-afea-428c-937d-c1d1a890c05d"/>
    <ds:schemaRef ds:uri="8b8158ac-2e04-4f8d-a6e9-fe4cd4dc2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Bramhall High School</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Brown</dc:creator>
  <cp:keywords/>
  <dc:description/>
  <cp:lastModifiedBy>D Brennan</cp:lastModifiedBy>
  <cp:revision>2</cp:revision>
  <cp:lastPrinted>2023-11-07T10:56:00Z</cp:lastPrinted>
  <dcterms:created xsi:type="dcterms:W3CDTF">2025-07-02T10:50:00Z</dcterms:created>
  <dcterms:modified xsi:type="dcterms:W3CDTF">2025-07-02T10:50:00Z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0x0101006CBD1EA561FED34AB94191E762C9083E</vt:lpwstr>
  </property>
</Properties>
</file>