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10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0" w:line="24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Class Teacher Job Description </w:t>
      </w:r>
    </w:p>
    <w:p w:rsidR="00000000" w:rsidDel="00000000" w:rsidP="00000000" w:rsidRDefault="00000000" w:rsidRPr="00000000" w14:paraId="00000004">
      <w:pPr>
        <w:shd w:fill="ffffff" w:val="clear"/>
        <w:spacing w:after="280" w:before="0" w:line="24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Reporting to: Subject Leader/Deputy Head/ Headteacher</w:t>
      </w:r>
    </w:p>
    <w:p w:rsidR="00000000" w:rsidDel="00000000" w:rsidP="00000000" w:rsidRDefault="00000000" w:rsidRPr="00000000" w14:paraId="00000005">
      <w:pPr>
        <w:shd w:fill="ffffff" w:val="clear"/>
        <w:spacing w:after="280" w:before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Duties and responsibilities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support the emotional and developmental needs of the children;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and teach appropriately to meet the needs of all pupils in the allocated classes, through differentiation of tasks;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work is marked and next steps for learning are made clear to the pupils;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 committed and active member of the staff team and school community;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 all agreed school policies and guidelines;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initiatives decided by the Headteacher and staff;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able to set clear targets, based on prior attainment, for pupils’ learning;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 stimulating classroom environment, where resources can be accessed appropriately by all pupils;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appropriate and efficient records, updating tracking procedures as directed and  integrating formative and summative assessment into planning;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with school leaders to track the progress of individual children and intervene where pupils are not making progress;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meet and inform parents/ carers of their children's progress, attitudes, attainment and targets through formal (parents</w:t>
      </w:r>
      <w:r w:rsidDel="00000000" w:rsidR="00000000" w:rsidRPr="00000000">
        <w:rPr>
          <w:rFonts w:ascii="Arial" w:cs="Arial" w:eastAsia="Arial" w:hAnsi="Arial"/>
          <w:rtl w:val="0"/>
        </w:rPr>
        <w:t xml:space="preserve">’ evenings)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informal meetings at appropriate times and produce an annual written report in line with school procedures;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attend the annual Year Ahead meeting and transition day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the good behaviour of all pupils by promoting the school’s code of conduct amongst pupils, in accordance with the school's positive behaviour policy;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and participate in meetings which relate to the school's management, curriculum, administration or organisation;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cooperate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specialists from outside agencies as necessary;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effective use of ICT to enhance learning and teaching;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Lead, organise and direct support staff within the classroom;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promote the vision, aims and values of the school and contribute to their development;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the performance management system for the appraisal of their own performance, or that of other teachers;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undertake any other particular duty reasonably assigned by the Head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eacher from time to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attend Christmas and Summer Fair events as well as Open Mornings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6.9291338582677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1285875</wp:posOffset>
          </wp:positionH>
          <wp:positionV relativeFrom="paragraph">
            <wp:posOffset>-240029</wp:posOffset>
          </wp:positionV>
          <wp:extent cx="3257550" cy="13239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7550" cy="1323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