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Y="-670"/>
        <w:tblW w:w="11520" w:type="dxa"/>
        <w:tblBorders>
          <w:top w:val="nil"/>
          <w:left w:val="nil"/>
          <w:bottom w:val="nil"/>
          <w:right w:val="nil"/>
          <w:insideH w:val="nil"/>
          <w:insideV w:val="nil"/>
        </w:tblBorders>
        <w:tblLayout w:type="fixed"/>
        <w:tblLook w:val="0400" w:firstRow="0" w:lastRow="0" w:firstColumn="0" w:lastColumn="0" w:noHBand="0" w:noVBand="1"/>
      </w:tblPr>
      <w:tblGrid>
        <w:gridCol w:w="7660"/>
        <w:gridCol w:w="71"/>
        <w:gridCol w:w="3789"/>
      </w:tblGrid>
      <w:tr w:rsidR="00313525">
        <w:trPr>
          <w:trHeight w:val="1981"/>
        </w:trPr>
        <w:tc>
          <w:tcPr>
            <w:tcW w:w="7660" w:type="dxa"/>
            <w:tcBorders>
              <w:top w:val="single" w:sz="4" w:space="0" w:color="FFFFFF"/>
              <w:left w:val="single" w:sz="4" w:space="0" w:color="FFFFFF"/>
              <w:bottom w:val="single" w:sz="4" w:space="0" w:color="FFFFFF"/>
              <w:right w:val="single" w:sz="4" w:space="0" w:color="FFFFFF"/>
            </w:tcBorders>
            <w:tcMar>
              <w:left w:w="0" w:type="dxa"/>
              <w:right w:w="0" w:type="dxa"/>
            </w:tcMar>
            <w:vAlign w:val="bottom"/>
          </w:tcPr>
          <w:p w:rsidR="00313525" w:rsidRDefault="003C4FB8">
            <w:pPr>
              <w:pBdr>
                <w:top w:val="nil"/>
                <w:left w:val="nil"/>
                <w:bottom w:val="nil"/>
                <w:right w:val="nil"/>
                <w:between w:val="nil"/>
              </w:pBdr>
              <w:spacing w:after="60"/>
              <w:rPr>
                <w:sz w:val="2"/>
                <w:szCs w:val="2"/>
              </w:rPr>
            </w:pPr>
            <w:r>
              <w:rPr>
                <w:noProof/>
                <w:sz w:val="2"/>
                <w:szCs w:val="2"/>
                <w:lang w:val="en-GB"/>
              </w:rPr>
              <w:drawing>
                <wp:inline distT="0" distB="0" distL="0" distR="0">
                  <wp:extent cx="3141663" cy="912812"/>
                  <wp:effectExtent l="0" t="0" r="1905" b="1905"/>
                  <wp:docPr id="1027" name="Picture 3" descr="Richmond School &amp; Sixth For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Richmond School &amp; Sixth Form Colle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1663" cy="912812"/>
                          </a:xfrm>
                          <a:prstGeom prst="rect">
                            <a:avLst/>
                          </a:prstGeom>
                          <a:noFill/>
                          <a:ln>
                            <a:noFill/>
                          </a:ln>
                          <a:effectLst/>
                          <a:extLst/>
                        </pic:spPr>
                      </pic:pic>
                    </a:graphicData>
                  </a:graphic>
                </wp:inline>
              </w:drawing>
            </w:r>
          </w:p>
        </w:tc>
        <w:tc>
          <w:tcPr>
            <w:tcW w:w="71" w:type="dxa"/>
            <w:tcBorders>
              <w:left w:val="single" w:sz="4" w:space="0" w:color="FFFFFF"/>
              <w:right w:val="single" w:sz="4" w:space="0" w:color="FFFFFF"/>
            </w:tcBorders>
            <w:tcMar>
              <w:left w:w="0" w:type="dxa"/>
              <w:right w:w="0" w:type="dxa"/>
            </w:tcMar>
          </w:tcPr>
          <w:p w:rsidR="00313525" w:rsidRDefault="00313525">
            <w:pPr>
              <w:pBdr>
                <w:top w:val="nil"/>
                <w:left w:val="nil"/>
                <w:bottom w:val="nil"/>
                <w:right w:val="nil"/>
                <w:between w:val="nil"/>
              </w:pBdr>
              <w:spacing w:after="60"/>
              <w:rPr>
                <w:sz w:val="2"/>
                <w:szCs w:val="2"/>
              </w:rPr>
            </w:pPr>
          </w:p>
        </w:tc>
        <w:tc>
          <w:tcPr>
            <w:tcW w:w="3789" w:type="dxa"/>
            <w:tcBorders>
              <w:top w:val="single" w:sz="4" w:space="0" w:color="FFFFFF"/>
              <w:left w:val="single" w:sz="4" w:space="0" w:color="FFFFFF"/>
              <w:bottom w:val="single" w:sz="4" w:space="0" w:color="FFFFFF"/>
              <w:right w:val="single" w:sz="4" w:space="0" w:color="FFFFFF"/>
            </w:tcBorders>
            <w:shd w:val="clear" w:color="auto" w:fill="FF0000"/>
          </w:tcPr>
          <w:p w:rsidR="00313525" w:rsidRDefault="00313525">
            <w:pPr>
              <w:widowControl w:val="0"/>
              <w:pBdr>
                <w:top w:val="nil"/>
                <w:left w:val="nil"/>
                <w:bottom w:val="nil"/>
                <w:right w:val="nil"/>
                <w:between w:val="nil"/>
              </w:pBdr>
              <w:spacing w:line="276" w:lineRule="auto"/>
              <w:rPr>
                <w:sz w:val="2"/>
                <w:szCs w:val="2"/>
              </w:rPr>
            </w:pPr>
          </w:p>
          <w:tbl>
            <w:tblPr>
              <w:tblStyle w:val="a0"/>
              <w:tblW w:w="4229" w:type="dxa"/>
              <w:tblLayout w:type="fixed"/>
              <w:tblLook w:val="0400" w:firstRow="0" w:lastRow="0" w:firstColumn="0" w:lastColumn="0" w:noHBand="0" w:noVBand="1"/>
            </w:tblPr>
            <w:tblGrid>
              <w:gridCol w:w="4229"/>
            </w:tblGrid>
            <w:tr w:rsidR="00313525">
              <w:trPr>
                <w:trHeight w:val="152"/>
              </w:trPr>
              <w:tc>
                <w:tcPr>
                  <w:tcW w:w="4229" w:type="dxa"/>
                </w:tcPr>
                <w:p w:rsidR="00313525" w:rsidRDefault="003C4FB8" w:rsidP="003C4FB8">
                  <w:pPr>
                    <w:pStyle w:val="Subtitle"/>
                    <w:framePr w:hSpace="180" w:wrap="around" w:vAnchor="text" w:hAnchor="margin" w:y="-670"/>
                    <w:jc w:val="left"/>
                    <w:rPr>
                      <w:rFonts w:ascii="Calibri" w:hAnsi="Calibri" w:cs="Calibri"/>
                    </w:rPr>
                  </w:pPr>
                  <w:r>
                    <w:rPr>
                      <w:rFonts w:ascii="Calibri" w:hAnsi="Calibri" w:cs="Calibri"/>
                    </w:rPr>
                    <w:t xml:space="preserve">Music </w:t>
                  </w:r>
                </w:p>
                <w:p w:rsidR="00313525" w:rsidRDefault="003C4FB8" w:rsidP="003C4FB8">
                  <w:pPr>
                    <w:pStyle w:val="Subtitle"/>
                    <w:framePr w:hSpace="180" w:wrap="around" w:vAnchor="text" w:hAnchor="margin" w:y="-670"/>
                    <w:jc w:val="left"/>
                    <w:rPr>
                      <w:rFonts w:ascii="Calibri" w:hAnsi="Calibri" w:cs="Calibri"/>
                    </w:rPr>
                  </w:pPr>
                  <w:r>
                    <w:rPr>
                      <w:rFonts w:ascii="Calibri" w:hAnsi="Calibri" w:cs="Calibri"/>
                    </w:rPr>
                    <w:t>Department Information</w:t>
                  </w:r>
                </w:p>
              </w:tc>
            </w:tr>
            <w:tr w:rsidR="00313525">
              <w:trPr>
                <w:trHeight w:val="131"/>
              </w:trPr>
              <w:tc>
                <w:tcPr>
                  <w:tcW w:w="4229" w:type="dxa"/>
                  <w:vAlign w:val="bottom"/>
                </w:tcPr>
                <w:p w:rsidR="00313525" w:rsidRDefault="00313525" w:rsidP="003C4FB8">
                  <w:pPr>
                    <w:pStyle w:val="Subtitle"/>
                    <w:framePr w:hSpace="180" w:wrap="around" w:vAnchor="text" w:hAnchor="margin" w:y="-670"/>
                    <w:jc w:val="left"/>
                    <w:rPr>
                      <w:sz w:val="18"/>
                      <w:szCs w:val="18"/>
                    </w:rPr>
                  </w:pPr>
                </w:p>
              </w:tc>
            </w:tr>
          </w:tbl>
          <w:p w:rsidR="00313525" w:rsidRDefault="00313525"/>
        </w:tc>
      </w:tr>
      <w:tr w:rsidR="00313525">
        <w:trPr>
          <w:trHeight w:val="70"/>
        </w:trPr>
        <w:tc>
          <w:tcPr>
            <w:tcW w:w="7660" w:type="dxa"/>
            <w:tcBorders>
              <w:top w:val="single" w:sz="4" w:space="0" w:color="FFFFFF"/>
            </w:tcBorders>
          </w:tcPr>
          <w:p w:rsidR="00313525" w:rsidRDefault="00313525">
            <w:pPr>
              <w:pBdr>
                <w:top w:val="nil"/>
                <w:left w:val="nil"/>
                <w:bottom w:val="nil"/>
                <w:right w:val="nil"/>
                <w:between w:val="nil"/>
              </w:pBdr>
              <w:spacing w:after="60"/>
              <w:rPr>
                <w:sz w:val="2"/>
                <w:szCs w:val="2"/>
              </w:rPr>
            </w:pPr>
          </w:p>
        </w:tc>
        <w:tc>
          <w:tcPr>
            <w:tcW w:w="71" w:type="dxa"/>
          </w:tcPr>
          <w:p w:rsidR="00313525" w:rsidRDefault="00313525">
            <w:pPr>
              <w:pBdr>
                <w:top w:val="nil"/>
                <w:left w:val="nil"/>
                <w:bottom w:val="nil"/>
                <w:right w:val="nil"/>
                <w:between w:val="nil"/>
              </w:pBdr>
              <w:spacing w:after="60"/>
              <w:rPr>
                <w:sz w:val="2"/>
                <w:szCs w:val="2"/>
              </w:rPr>
            </w:pPr>
          </w:p>
        </w:tc>
        <w:tc>
          <w:tcPr>
            <w:tcW w:w="3789" w:type="dxa"/>
            <w:tcBorders>
              <w:top w:val="single" w:sz="4" w:space="0" w:color="FFFFFF"/>
            </w:tcBorders>
          </w:tcPr>
          <w:p w:rsidR="00313525" w:rsidRDefault="00313525">
            <w:pPr>
              <w:pBdr>
                <w:top w:val="nil"/>
                <w:left w:val="nil"/>
                <w:bottom w:val="nil"/>
                <w:right w:val="nil"/>
                <w:between w:val="nil"/>
              </w:pBdr>
              <w:spacing w:after="60"/>
              <w:rPr>
                <w:sz w:val="2"/>
                <w:szCs w:val="2"/>
              </w:rPr>
            </w:pPr>
          </w:p>
        </w:tc>
      </w:tr>
      <w:tr w:rsidR="00313525">
        <w:trPr>
          <w:trHeight w:val="80"/>
        </w:trPr>
        <w:tc>
          <w:tcPr>
            <w:tcW w:w="7660" w:type="dxa"/>
            <w:shd w:val="clear" w:color="auto" w:fill="FF0000"/>
            <w:tcMar>
              <w:left w:w="0" w:type="dxa"/>
              <w:right w:w="115" w:type="dxa"/>
            </w:tcMar>
            <w:vAlign w:val="center"/>
          </w:tcPr>
          <w:p w:rsidR="00313525" w:rsidRDefault="00313525">
            <w:pPr>
              <w:pStyle w:val="Heading4"/>
              <w:outlineLvl w:val="3"/>
            </w:pPr>
          </w:p>
        </w:tc>
        <w:tc>
          <w:tcPr>
            <w:tcW w:w="71" w:type="dxa"/>
            <w:tcMar>
              <w:left w:w="0" w:type="dxa"/>
              <w:right w:w="0" w:type="dxa"/>
            </w:tcMar>
            <w:vAlign w:val="center"/>
          </w:tcPr>
          <w:p w:rsidR="00313525" w:rsidRDefault="00313525">
            <w:pPr>
              <w:pBdr>
                <w:top w:val="nil"/>
                <w:left w:val="nil"/>
                <w:bottom w:val="nil"/>
                <w:right w:val="nil"/>
                <w:between w:val="nil"/>
              </w:pBdr>
              <w:spacing w:after="60"/>
              <w:rPr>
                <w:sz w:val="2"/>
                <w:szCs w:val="2"/>
              </w:rPr>
            </w:pPr>
          </w:p>
        </w:tc>
        <w:tc>
          <w:tcPr>
            <w:tcW w:w="3789" w:type="dxa"/>
            <w:shd w:val="clear" w:color="auto" w:fill="404040"/>
            <w:tcMar>
              <w:left w:w="0" w:type="dxa"/>
              <w:right w:w="115" w:type="dxa"/>
            </w:tcMar>
            <w:vAlign w:val="center"/>
          </w:tcPr>
          <w:p w:rsidR="00313525" w:rsidRDefault="00313525">
            <w:pPr>
              <w:pStyle w:val="Heading4"/>
              <w:outlineLvl w:val="3"/>
              <w:rPr>
                <w:rFonts w:ascii="Arial" w:eastAsia="Arial" w:hAnsi="Arial" w:cs="Arial"/>
                <w:smallCaps w:val="0"/>
              </w:rPr>
            </w:pPr>
          </w:p>
        </w:tc>
      </w:tr>
    </w:tbl>
    <w:p w:rsidR="00313525" w:rsidRDefault="00313525">
      <w:pPr>
        <w:pBdr>
          <w:top w:val="nil"/>
          <w:left w:val="nil"/>
          <w:bottom w:val="nil"/>
          <w:right w:val="nil"/>
          <w:between w:val="nil"/>
        </w:pBdr>
        <w:spacing w:after="60"/>
        <w:rPr>
          <w:sz w:val="2"/>
          <w:szCs w:val="2"/>
        </w:rPr>
      </w:pPr>
    </w:p>
    <w:p w:rsidR="00313525" w:rsidRDefault="00313525">
      <w:pPr>
        <w:framePr w:h="2610" w:hRule="exact" w:wrap="auto" w:hAnchor="text"/>
        <w:sectPr w:rsidR="00313525">
          <w:headerReference w:type="default" r:id="rId7"/>
          <w:headerReference w:type="first" r:id="rId8"/>
          <w:footerReference w:type="first" r:id="rId9"/>
          <w:pgSz w:w="12240" w:h="15840"/>
          <w:pgMar w:top="720" w:right="576" w:bottom="720" w:left="576" w:header="360" w:footer="720" w:gutter="0"/>
          <w:pgNumType w:start="1"/>
          <w:cols w:space="720" w:equalWidth="0">
            <w:col w:w="9360"/>
          </w:cols>
          <w:titlePg/>
        </w:sectPr>
      </w:pPr>
    </w:p>
    <w:p w:rsidR="00313525" w:rsidRDefault="003C4FB8">
      <w:pPr>
        <w:rPr>
          <w:rFonts w:ascii="Calibri" w:hAnsi="Calibri" w:cs="Calibri"/>
          <w:b/>
          <w:sz w:val="16"/>
          <w:szCs w:val="16"/>
        </w:rPr>
      </w:pPr>
      <w:r>
        <w:rPr>
          <w:rFonts w:ascii="Calibri" w:hAnsi="Calibri" w:cs="Calibri"/>
          <w:b/>
          <w:sz w:val="28"/>
          <w:szCs w:val="28"/>
        </w:rPr>
        <w:t>About the role</w:t>
      </w:r>
    </w:p>
    <w:p w:rsidR="00313525" w:rsidRDefault="003C4FB8">
      <w:pPr>
        <w:rPr>
          <w:rFonts w:ascii="Calibri" w:hAnsi="Calibri" w:cs="Calibri"/>
          <w:b/>
          <w:sz w:val="16"/>
          <w:szCs w:val="16"/>
        </w:rPr>
      </w:pPr>
      <w:r>
        <w:rPr>
          <w:rFonts w:ascii="Calibri" w:hAnsi="Calibri" w:cs="Calibri"/>
          <w:sz w:val="22"/>
          <w:szCs w:val="22"/>
        </w:rPr>
        <w:t xml:space="preserve">We are looking for an enthusiastic teacher of Music who passionately believes in </w:t>
      </w:r>
      <w:r>
        <w:rPr>
          <w:rFonts w:ascii="Calibri" w:hAnsi="Calibri" w:cs="Calibri"/>
          <w:sz w:val="22"/>
          <w:szCs w:val="22"/>
        </w:rPr>
        <w:t>putting students first. You will be joining a committed and hardworking department.  It is expected that the successful candidate will be able to teach across the age and ability range, including A-l</w:t>
      </w:r>
      <w:r>
        <w:rPr>
          <w:rFonts w:ascii="Calibri" w:hAnsi="Calibri" w:cs="Calibri"/>
          <w:sz w:val="22"/>
          <w:szCs w:val="22"/>
        </w:rPr>
        <w:t xml:space="preserve">evel, CTEC Performing Arts and GCSE.  We simply want the </w:t>
      </w:r>
      <w:r>
        <w:rPr>
          <w:rFonts w:ascii="Calibri" w:hAnsi="Calibri" w:cs="Calibri"/>
          <w:sz w:val="22"/>
          <w:szCs w:val="22"/>
        </w:rPr>
        <w:t>best teachers for our students, and that could be you!</w:t>
      </w:r>
      <w:r>
        <w:rPr>
          <w:rFonts w:ascii="Calibri" w:hAnsi="Calibri" w:cs="Calibri"/>
          <w:b/>
          <w:sz w:val="22"/>
          <w:szCs w:val="22"/>
        </w:rPr>
        <w:t xml:space="preserve"> </w:t>
      </w:r>
    </w:p>
    <w:p w:rsidR="00313525" w:rsidRDefault="003C4FB8">
      <w:pPr>
        <w:spacing w:after="0"/>
        <w:rPr>
          <w:rFonts w:ascii="Calibri" w:hAnsi="Calibri" w:cs="Calibri"/>
          <w:b/>
          <w:sz w:val="28"/>
          <w:szCs w:val="28"/>
        </w:rPr>
      </w:pPr>
      <w:r>
        <w:rPr>
          <w:rFonts w:ascii="Calibri" w:hAnsi="Calibri" w:cs="Calibri"/>
          <w:b/>
          <w:sz w:val="28"/>
          <w:szCs w:val="28"/>
        </w:rPr>
        <w:t>About the department</w:t>
      </w:r>
    </w:p>
    <w:p w:rsidR="00313525" w:rsidRDefault="00313525">
      <w:pPr>
        <w:spacing w:after="0"/>
        <w:rPr>
          <w:rFonts w:ascii="Calibri" w:hAnsi="Calibri" w:cs="Calibri"/>
          <w:sz w:val="22"/>
          <w:szCs w:val="22"/>
        </w:rPr>
      </w:pPr>
    </w:p>
    <w:p w:rsidR="00313525" w:rsidRDefault="003C4FB8">
      <w:pPr>
        <w:spacing w:after="0"/>
        <w:rPr>
          <w:rFonts w:ascii="Calibri" w:hAnsi="Calibri" w:cs="Calibri"/>
          <w:sz w:val="22"/>
          <w:szCs w:val="22"/>
        </w:rPr>
      </w:pPr>
      <w:r>
        <w:rPr>
          <w:rFonts w:ascii="Calibri" w:hAnsi="Calibri" w:cs="Calibri"/>
          <w:sz w:val="22"/>
          <w:szCs w:val="22"/>
        </w:rPr>
        <w:t>The Mus</w:t>
      </w:r>
      <w:bookmarkStart w:id="0" w:name="_GoBack"/>
      <w:bookmarkEnd w:id="0"/>
      <w:r>
        <w:rPr>
          <w:rFonts w:ascii="Calibri" w:hAnsi="Calibri" w:cs="Calibri"/>
          <w:sz w:val="22"/>
          <w:szCs w:val="22"/>
        </w:rPr>
        <w:t xml:space="preserve">ic Department is a vibrant and exciting place for staff and pupils alike. Over the past few years we have grown both in the Curriculum and in our Instrumental </w:t>
      </w:r>
      <w:proofErr w:type="spellStart"/>
      <w:r>
        <w:rPr>
          <w:rFonts w:ascii="Calibri" w:hAnsi="Calibri" w:cs="Calibri"/>
          <w:sz w:val="22"/>
          <w:szCs w:val="22"/>
        </w:rPr>
        <w:t>Programme</w:t>
      </w:r>
      <w:proofErr w:type="spellEnd"/>
      <w:r>
        <w:rPr>
          <w:rFonts w:ascii="Calibri" w:hAnsi="Calibri" w:cs="Calibri"/>
          <w:sz w:val="22"/>
          <w:szCs w:val="22"/>
        </w:rPr>
        <w:t>. Over 250 students now take part in a weekly instrumental/vocal lesson with many more taking part in our extensive extracurricular timetable. The Music Department is situated in the new building with recently upgraded infrastructure giving students access</w:t>
      </w:r>
      <w:r>
        <w:rPr>
          <w:rFonts w:ascii="Calibri" w:hAnsi="Calibri" w:cs="Calibri"/>
          <w:sz w:val="22"/>
          <w:szCs w:val="22"/>
        </w:rPr>
        <w:t xml:space="preserve"> to the latest technology in music. </w:t>
      </w:r>
      <w:r>
        <w:rPr>
          <w:rFonts w:ascii="Calibri" w:hAnsi="Calibri" w:cs="Calibri"/>
          <w:b/>
          <w:noProof/>
          <w:sz w:val="28"/>
          <w:szCs w:val="28"/>
          <w:lang w:val="en-GB"/>
        </w:rPr>
        <w:drawing>
          <wp:inline distT="0" distB="0" distL="0" distR="0">
            <wp:extent cx="2042160" cy="1360805"/>
            <wp:effectExtent l="0" t="0" r="0" b="0"/>
            <wp:docPr id="24" name="Picture 24" descr="G:\Publicity\2019-2020\19 December\Christmas carol service\IMG_9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ity\2019-2020\19 December\Christmas carol service\IMG_96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160" cy="1360805"/>
                    </a:xfrm>
                    <a:prstGeom prst="rect">
                      <a:avLst/>
                    </a:prstGeom>
                    <a:noFill/>
                    <a:ln>
                      <a:noFill/>
                    </a:ln>
                  </pic:spPr>
                </pic:pic>
              </a:graphicData>
            </a:graphic>
          </wp:inline>
        </w:drawing>
      </w:r>
    </w:p>
    <w:p w:rsidR="00313525" w:rsidRDefault="003C4FB8">
      <w:pPr>
        <w:spacing w:after="0"/>
        <w:rPr>
          <w:rFonts w:ascii="Calibri" w:hAnsi="Calibri" w:cs="Calibri"/>
          <w:sz w:val="22"/>
          <w:szCs w:val="22"/>
        </w:rPr>
      </w:pPr>
      <w:r>
        <w:rPr>
          <w:rFonts w:ascii="Calibri" w:hAnsi="Calibri" w:cs="Calibri"/>
          <w:sz w:val="22"/>
          <w:szCs w:val="22"/>
        </w:rPr>
        <w:t xml:space="preserve">The Department consists of ten teachers. Two curriculum specialists, including the Lead Teacher and eight visiting Instrumental </w:t>
      </w:r>
      <w:proofErr w:type="spellStart"/>
      <w:r>
        <w:rPr>
          <w:rFonts w:ascii="Calibri" w:hAnsi="Calibri" w:cs="Calibri"/>
          <w:sz w:val="22"/>
          <w:szCs w:val="22"/>
        </w:rPr>
        <w:t>Programme</w:t>
      </w:r>
      <w:proofErr w:type="spellEnd"/>
      <w:r>
        <w:rPr>
          <w:rFonts w:ascii="Calibri" w:hAnsi="Calibri" w:cs="Calibri"/>
          <w:sz w:val="22"/>
          <w:szCs w:val="22"/>
        </w:rPr>
        <w:t xml:space="preserve"> teachers. There is also a Music </w:t>
      </w:r>
      <w:r>
        <w:rPr>
          <w:rFonts w:ascii="Calibri" w:hAnsi="Calibri" w:cs="Calibri"/>
          <w:sz w:val="22"/>
          <w:szCs w:val="22"/>
        </w:rPr>
        <w:t>Technician who supports a variety of roles acros</w:t>
      </w:r>
      <w:r>
        <w:rPr>
          <w:rFonts w:ascii="Calibri" w:hAnsi="Calibri" w:cs="Calibri"/>
          <w:sz w:val="22"/>
          <w:szCs w:val="22"/>
        </w:rPr>
        <w:t>s the dept</w:t>
      </w:r>
      <w:r>
        <w:rPr>
          <w:rFonts w:ascii="Calibri" w:hAnsi="Calibri" w:cs="Calibri"/>
          <w:color w:val="000000"/>
          <w:sz w:val="22"/>
          <w:szCs w:val="22"/>
        </w:rPr>
        <w:t>. This gives a creative mix of youth, expertise and experience within the team that actively aims to support any new staff joining the team.</w:t>
      </w:r>
    </w:p>
    <w:p w:rsidR="00313525" w:rsidRDefault="003C4FB8">
      <w:pPr>
        <w:spacing w:after="0"/>
        <w:rPr>
          <w:rFonts w:ascii="Calibri" w:hAnsi="Calibri" w:cs="Calibri"/>
          <w:b/>
          <w:sz w:val="28"/>
          <w:szCs w:val="28"/>
        </w:rPr>
      </w:pPr>
      <w:r>
        <w:rPr>
          <w:rFonts w:ascii="Calibri" w:hAnsi="Calibri" w:cs="Calibri"/>
          <w:b/>
          <w:sz w:val="28"/>
          <w:szCs w:val="28"/>
        </w:rPr>
        <w:t xml:space="preserve"> </w:t>
      </w:r>
      <w:r>
        <w:rPr>
          <w:rFonts w:ascii="Calibri" w:hAnsi="Calibri" w:cs="Calibri"/>
          <w:b/>
          <w:noProof/>
          <w:sz w:val="28"/>
          <w:szCs w:val="28"/>
          <w:lang w:val="en-GB"/>
        </w:rPr>
        <w:drawing>
          <wp:inline distT="0" distB="0" distL="0" distR="0">
            <wp:extent cx="2042160" cy="1361100"/>
            <wp:effectExtent l="0" t="0" r="0" b="0"/>
            <wp:docPr id="26" name="Picture 26" descr="G:\Music\Photos\2019-2020\19 September\Jazz Band and Music Year 6 open evening\Jazz Band  and Music\IMG_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usic\Photos\2019-2020\19 September\Jazz Band and Music Year 6 open evening\Jazz Band  and Music\IMG_46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160" cy="1361100"/>
                    </a:xfrm>
                    <a:prstGeom prst="rect">
                      <a:avLst/>
                    </a:prstGeom>
                    <a:noFill/>
                    <a:ln>
                      <a:noFill/>
                    </a:ln>
                  </pic:spPr>
                </pic:pic>
              </a:graphicData>
            </a:graphic>
          </wp:inline>
        </w:drawing>
      </w:r>
    </w:p>
    <w:p w:rsidR="00313525" w:rsidRDefault="003C4FB8">
      <w:pPr>
        <w:rPr>
          <w:rFonts w:ascii="Calibri" w:hAnsi="Calibri" w:cs="Calibri"/>
          <w:color w:val="000000"/>
          <w:sz w:val="22"/>
          <w:szCs w:val="22"/>
        </w:rPr>
      </w:pPr>
      <w:r>
        <w:rPr>
          <w:rFonts w:ascii="Calibri" w:hAnsi="Calibri" w:cs="Calibri"/>
          <w:sz w:val="22"/>
          <w:szCs w:val="22"/>
        </w:rPr>
        <w:t xml:space="preserve">The Department has a collaborative approach to teaching and learning. We believe in sharing ideas and </w:t>
      </w:r>
      <w:r>
        <w:rPr>
          <w:rFonts w:ascii="Calibri" w:hAnsi="Calibri" w:cs="Calibri"/>
          <w:sz w:val="22"/>
          <w:szCs w:val="22"/>
        </w:rPr>
        <w:t xml:space="preserve">resources, and supporting each other in a continual drive to improve the musical experience we provide for our students. </w:t>
      </w:r>
      <w:r>
        <w:rPr>
          <w:rFonts w:ascii="Calibri" w:hAnsi="Calibri" w:cs="Calibri"/>
          <w:color w:val="000000"/>
          <w:sz w:val="22"/>
          <w:szCs w:val="22"/>
        </w:rPr>
        <w:t>We are a well-resourced department with students having access to Sibelius and Cubase software as well as Logic for more advanced cours</w:t>
      </w:r>
      <w:r>
        <w:rPr>
          <w:rFonts w:ascii="Calibri" w:hAnsi="Calibri" w:cs="Calibri"/>
          <w:color w:val="000000"/>
          <w:sz w:val="22"/>
          <w:szCs w:val="22"/>
        </w:rPr>
        <w:t xml:space="preserve">es. We also are well stocked with instruments to teach focusing on practical development. KS3 is paperless with KS4 &amp; 5 mainly computer based in composition and written work. Student recordings are continuously made and shared via Google Classroom. </w:t>
      </w:r>
    </w:p>
    <w:p w:rsidR="00313525" w:rsidRDefault="00313525">
      <w:pPr>
        <w:rPr>
          <w:rFonts w:ascii="Calibri" w:hAnsi="Calibri" w:cs="Calibri"/>
          <w:b/>
          <w:sz w:val="28"/>
          <w:szCs w:val="28"/>
        </w:rPr>
      </w:pPr>
    </w:p>
    <w:p w:rsidR="00313525" w:rsidRDefault="003C4FB8">
      <w:pPr>
        <w:rPr>
          <w:rFonts w:ascii="Calibri" w:hAnsi="Calibri" w:cs="Calibri"/>
          <w:b/>
          <w:sz w:val="28"/>
          <w:szCs w:val="28"/>
        </w:rPr>
      </w:pPr>
      <w:bookmarkStart w:id="1" w:name="_gjdgxs" w:colFirst="0" w:colLast="0"/>
      <w:bookmarkEnd w:id="1"/>
      <w:r>
        <w:rPr>
          <w:rFonts w:ascii="Calibri" w:hAnsi="Calibri" w:cs="Calibri"/>
          <w:b/>
          <w:sz w:val="28"/>
          <w:szCs w:val="28"/>
        </w:rPr>
        <w:t>About</w:t>
      </w:r>
      <w:r>
        <w:rPr>
          <w:rFonts w:ascii="Calibri" w:hAnsi="Calibri" w:cs="Calibri"/>
          <w:b/>
          <w:sz w:val="28"/>
          <w:szCs w:val="28"/>
        </w:rPr>
        <w:t xml:space="preserve"> the courses</w:t>
      </w:r>
    </w:p>
    <w:p w:rsidR="00313525" w:rsidRDefault="003C4FB8">
      <w:pPr>
        <w:rPr>
          <w:rFonts w:ascii="Calibri" w:hAnsi="Calibri" w:cs="Calibri"/>
          <w:sz w:val="22"/>
          <w:szCs w:val="22"/>
        </w:rPr>
      </w:pPr>
      <w:r>
        <w:rPr>
          <w:rFonts w:ascii="Calibri" w:hAnsi="Calibri" w:cs="Calibri"/>
          <w:sz w:val="22"/>
          <w:szCs w:val="22"/>
        </w:rPr>
        <w:t xml:space="preserve">In KS3 there are approximately 250 students in each year studying Music in mixed ability classes of around 28 students. From Y9 students elect to study GCSE Music and the numbers range from 20 -30 in each year group. </w:t>
      </w:r>
    </w:p>
    <w:p w:rsidR="00313525" w:rsidRDefault="003C4FB8">
      <w:pPr>
        <w:spacing w:after="0"/>
        <w:rPr>
          <w:rFonts w:ascii="Calibri" w:hAnsi="Calibri" w:cs="Calibri"/>
          <w:b/>
          <w:sz w:val="28"/>
          <w:szCs w:val="28"/>
        </w:rPr>
      </w:pPr>
      <w:r>
        <w:rPr>
          <w:rFonts w:ascii="Calibri" w:hAnsi="Calibri" w:cs="Calibri"/>
          <w:b/>
          <w:sz w:val="28"/>
          <w:szCs w:val="28"/>
        </w:rPr>
        <w:t xml:space="preserve">About the results </w:t>
      </w:r>
    </w:p>
    <w:p w:rsidR="00313525" w:rsidRDefault="003C4FB8">
      <w:pPr>
        <w:rPr>
          <w:rFonts w:ascii="Calibri" w:hAnsi="Calibri" w:cs="Calibri"/>
          <w:color w:val="000000"/>
          <w:sz w:val="22"/>
          <w:szCs w:val="22"/>
        </w:rPr>
      </w:pPr>
      <w:r>
        <w:rPr>
          <w:rFonts w:ascii="Calibri" w:hAnsi="Calibri" w:cs="Calibri"/>
          <w:sz w:val="22"/>
          <w:szCs w:val="22"/>
        </w:rPr>
        <w:t>The Mu</w:t>
      </w:r>
      <w:r>
        <w:rPr>
          <w:rFonts w:ascii="Calibri" w:hAnsi="Calibri" w:cs="Calibri"/>
          <w:sz w:val="22"/>
          <w:szCs w:val="22"/>
        </w:rPr>
        <w:t>sic examination results over the last few years have been continually improving</w:t>
      </w:r>
      <w:r>
        <w:rPr>
          <w:rFonts w:ascii="Calibri" w:hAnsi="Calibri" w:cs="Calibri"/>
          <w:color w:val="000000"/>
          <w:sz w:val="24"/>
          <w:szCs w:val="24"/>
        </w:rPr>
        <w:t xml:space="preserve"> </w:t>
      </w:r>
      <w:r>
        <w:rPr>
          <w:rFonts w:ascii="Calibri" w:hAnsi="Calibri" w:cs="Calibri"/>
          <w:color w:val="000000"/>
          <w:sz w:val="22"/>
          <w:szCs w:val="22"/>
        </w:rPr>
        <w:t xml:space="preserve">and there is an expectation this will remain for many years to come. </w:t>
      </w:r>
    </w:p>
    <w:p w:rsidR="00313525" w:rsidRDefault="003C4FB8">
      <w:pPr>
        <w:spacing w:after="0"/>
        <w:rPr>
          <w:rFonts w:ascii="Calibri" w:hAnsi="Calibri" w:cs="Calibri"/>
          <w:b/>
          <w:sz w:val="28"/>
          <w:szCs w:val="28"/>
        </w:rPr>
      </w:pPr>
      <w:r>
        <w:rPr>
          <w:rFonts w:ascii="Calibri" w:hAnsi="Calibri" w:cs="Calibri"/>
          <w:b/>
          <w:sz w:val="28"/>
          <w:szCs w:val="28"/>
        </w:rPr>
        <w:t>Extra-Curricular</w:t>
      </w:r>
    </w:p>
    <w:p w:rsidR="00313525" w:rsidRDefault="003C4FB8">
      <w:pPr>
        <w:rPr>
          <w:rFonts w:ascii="Calibri" w:hAnsi="Calibri" w:cs="Calibri"/>
          <w:sz w:val="22"/>
          <w:szCs w:val="22"/>
        </w:rPr>
      </w:pPr>
      <w:bookmarkStart w:id="2" w:name="_30j0zll" w:colFirst="0" w:colLast="0"/>
      <w:bookmarkEnd w:id="2"/>
      <w:r>
        <w:rPr>
          <w:rFonts w:ascii="Calibri" w:hAnsi="Calibri" w:cs="Calibri"/>
          <w:sz w:val="22"/>
          <w:szCs w:val="22"/>
        </w:rPr>
        <w:t>The successful candidate will have responsibility for at least one extracurricular activi</w:t>
      </w:r>
      <w:r>
        <w:rPr>
          <w:rFonts w:ascii="Calibri" w:hAnsi="Calibri" w:cs="Calibri"/>
          <w:sz w:val="22"/>
          <w:szCs w:val="22"/>
        </w:rPr>
        <w:t xml:space="preserve">ty in their area of expertise, and will be expected to support others as required. </w:t>
      </w:r>
      <w:r>
        <w:rPr>
          <w:rFonts w:ascii="Calibri" w:hAnsi="Calibri" w:cs="Calibri"/>
          <w:noProof/>
          <w:color w:val="000000"/>
          <w:sz w:val="22"/>
          <w:szCs w:val="22"/>
          <w:lang w:val="en-GB"/>
        </w:rPr>
        <w:drawing>
          <wp:inline distT="0" distB="0" distL="0" distR="0">
            <wp:extent cx="2042160" cy="1152525"/>
            <wp:effectExtent l="0" t="0" r="0" b="9525"/>
            <wp:docPr id="25" name="Picture 25" descr="G:\Music\Photos\2018\2018_German_Trip\IMG_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usic\Photos\2018\2018_German_Trip\IMG_03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572" b="27860"/>
                    <a:stretch/>
                  </pic:blipFill>
                  <pic:spPr bwMode="auto">
                    <a:xfrm>
                      <a:off x="0" y="0"/>
                      <a:ext cx="2042160" cy="1152525"/>
                    </a:xfrm>
                    <a:prstGeom prst="rect">
                      <a:avLst/>
                    </a:prstGeom>
                    <a:noFill/>
                    <a:ln>
                      <a:noFill/>
                    </a:ln>
                    <a:extLst>
                      <a:ext uri="{53640926-AAD7-44D8-BBD7-CCE9431645EC}">
                        <a14:shadowObscured xmlns:a14="http://schemas.microsoft.com/office/drawing/2010/main"/>
                      </a:ext>
                    </a:extLst>
                  </pic:spPr>
                </pic:pic>
              </a:graphicData>
            </a:graphic>
          </wp:inline>
        </w:drawing>
      </w:r>
    </w:p>
    <w:p w:rsidR="00313525" w:rsidRDefault="003C4FB8">
      <w:pPr>
        <w:rPr>
          <w:rFonts w:ascii="Calibri" w:hAnsi="Calibri" w:cs="Calibri"/>
          <w:sz w:val="16"/>
          <w:szCs w:val="16"/>
        </w:rPr>
      </w:pPr>
      <w:r>
        <w:rPr>
          <w:rFonts w:ascii="Calibri" w:hAnsi="Calibri" w:cs="Calibri"/>
          <w:sz w:val="22"/>
          <w:szCs w:val="22"/>
        </w:rPr>
        <w:t>We enjoy our time at Richmond School and find it a rewarding place to work and make music!</w:t>
      </w:r>
    </w:p>
    <w:sectPr w:rsidR="00313525">
      <w:type w:val="continuous"/>
      <w:pgSz w:w="12240" w:h="15840"/>
      <w:pgMar w:top="720" w:right="576" w:bottom="720" w:left="576" w:header="360" w:footer="720" w:gutter="0"/>
      <w:cols w:num="3" w:space="720" w:equalWidth="0">
        <w:col w:w="3360" w:space="504"/>
        <w:col w:w="3360" w:space="504"/>
        <w:col w:w="33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25" w:rsidRDefault="003C4FB8">
      <w:pPr>
        <w:spacing w:after="0"/>
      </w:pPr>
      <w:r>
        <w:separator/>
      </w:r>
    </w:p>
  </w:endnote>
  <w:endnote w:type="continuationSeparator" w:id="0">
    <w:p w:rsidR="00313525" w:rsidRDefault="003C4F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25" w:rsidRDefault="003C4FB8">
    <w:pPr>
      <w:pBdr>
        <w:top w:val="nil"/>
        <w:left w:val="nil"/>
        <w:bottom w:val="nil"/>
        <w:right w:val="nil"/>
        <w:between w:val="nil"/>
      </w:pBdr>
      <w:tabs>
        <w:tab w:val="left" w:pos="8865"/>
      </w:tabs>
      <w:spacing w:after="0"/>
      <w:jc w:val="right"/>
    </w:pPr>
    <w:r>
      <w:rPr>
        <w:noProof/>
        <w:lang w:val="en-GB"/>
      </w:rPr>
      <w:drawing>
        <wp:anchor distT="0" distB="0" distL="114300" distR="114300" simplePos="0" relativeHeight="251659264" behindDoc="0" locked="0" layoutInCell="1" allowOverlap="1">
          <wp:simplePos x="0" y="0"/>
          <wp:positionH relativeFrom="column">
            <wp:posOffset>4538704</wp:posOffset>
          </wp:positionH>
          <wp:positionV relativeFrom="paragraph">
            <wp:posOffset>-683260</wp:posOffset>
          </wp:positionV>
          <wp:extent cx="2536466" cy="86786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466" cy="867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25" w:rsidRDefault="003C4FB8">
      <w:pPr>
        <w:spacing w:after="0"/>
      </w:pPr>
      <w:r>
        <w:separator/>
      </w:r>
    </w:p>
  </w:footnote>
  <w:footnote w:type="continuationSeparator" w:id="0">
    <w:p w:rsidR="00313525" w:rsidRDefault="003C4F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25" w:rsidRDefault="00313525">
    <w:pPr>
      <w:pBdr>
        <w:top w:val="nil"/>
        <w:left w:val="nil"/>
        <w:bottom w:val="nil"/>
        <w:right w:val="nil"/>
        <w:between w:val="nil"/>
      </w:pBdr>
      <w:spacing w:after="60"/>
      <w:ind w:left="-218"/>
      <w:rPr>
        <w:sz w:val="2"/>
        <w:szCs w:val="2"/>
      </w:rPr>
    </w:pPr>
  </w:p>
  <w:p w:rsidR="00313525" w:rsidRDefault="00313525">
    <w:pPr>
      <w:pBdr>
        <w:top w:val="nil"/>
        <w:left w:val="nil"/>
        <w:bottom w:val="nil"/>
        <w:right w:val="nil"/>
        <w:between w:val="nil"/>
      </w:pBdr>
      <w:spacing w:after="6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25" w:rsidRDefault="00313525">
    <w:pPr>
      <w:widowControl w:val="0"/>
      <w:pBdr>
        <w:top w:val="nil"/>
        <w:left w:val="nil"/>
        <w:bottom w:val="nil"/>
        <w:right w:val="nil"/>
        <w:between w:val="nil"/>
      </w:pBdr>
      <w:spacing w:after="0" w:line="276" w:lineRule="auto"/>
    </w:pPr>
  </w:p>
  <w:tbl>
    <w:tblPr>
      <w:tblStyle w:val="a1"/>
      <w:tblW w:w="11491" w:type="dxa"/>
      <w:tblInd w:w="-202" w:type="dxa"/>
      <w:tblBorders>
        <w:top w:val="nil"/>
        <w:left w:val="nil"/>
        <w:bottom w:val="nil"/>
        <w:right w:val="nil"/>
        <w:insideH w:val="nil"/>
        <w:insideV w:val="nil"/>
      </w:tblBorders>
      <w:tblLayout w:type="fixed"/>
      <w:tblLook w:val="0400" w:firstRow="0" w:lastRow="0" w:firstColumn="0" w:lastColumn="0" w:noHBand="0" w:noVBand="1"/>
    </w:tblPr>
    <w:tblGrid>
      <w:gridCol w:w="5746"/>
      <w:gridCol w:w="5745"/>
    </w:tblGrid>
    <w:tr w:rsidR="00313525">
      <w:tc>
        <w:tcPr>
          <w:tcW w:w="5746" w:type="dxa"/>
          <w:vAlign w:val="bottom"/>
        </w:tcPr>
        <w:p w:rsidR="00313525" w:rsidRDefault="00313525">
          <w:pPr>
            <w:pBdr>
              <w:top w:val="nil"/>
              <w:left w:val="nil"/>
              <w:bottom w:val="nil"/>
              <w:right w:val="nil"/>
              <w:between w:val="nil"/>
            </w:pBdr>
            <w:spacing w:after="60"/>
            <w:rPr>
              <w:smallCaps/>
              <w:color w:val="FF0000"/>
              <w:sz w:val="20"/>
              <w:szCs w:val="20"/>
            </w:rPr>
          </w:pPr>
        </w:p>
      </w:tc>
      <w:tc>
        <w:tcPr>
          <w:tcW w:w="5745" w:type="dxa"/>
          <w:vAlign w:val="bottom"/>
        </w:tcPr>
        <w:p w:rsidR="00313525" w:rsidRDefault="003C4FB8">
          <w:pPr>
            <w:pBdr>
              <w:top w:val="nil"/>
              <w:left w:val="nil"/>
              <w:bottom w:val="nil"/>
              <w:right w:val="nil"/>
              <w:between w:val="nil"/>
            </w:pBdr>
            <w:spacing w:after="60"/>
            <w:jc w:val="right"/>
            <w:rPr>
              <w:color w:val="808080"/>
              <w:sz w:val="20"/>
              <w:szCs w:val="20"/>
            </w:rPr>
          </w:pPr>
          <w:r>
            <w:rPr>
              <w:color w:val="808080"/>
              <w:sz w:val="20"/>
              <w:szCs w:val="20"/>
            </w:rPr>
            <w:t xml:space="preserve">      </w:t>
          </w:r>
        </w:p>
      </w:tc>
    </w:tr>
  </w:tbl>
  <w:p w:rsidR="00313525" w:rsidRDefault="00313525">
    <w:pPr>
      <w:pBdr>
        <w:top w:val="nil"/>
        <w:left w:val="nil"/>
        <w:bottom w:val="nil"/>
        <w:right w:val="nil"/>
        <w:between w:val="nil"/>
      </w:pBdr>
      <w:spacing w:after="60"/>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25"/>
    <w:rsid w:val="00313525"/>
    <w:rsid w:val="003C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DDED"/>
  <w15:docId w15:val="{729E8ED1-2422-43A9-8541-B75763DB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Corbel"/>
        <w:color w:val="262626"/>
        <w:sz w:val="18"/>
        <w:szCs w:val="18"/>
        <w:lang w:val="en-US" w:eastAsia="en-GB"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Trebuchet MS" w:eastAsia="Trebuchet MS" w:hAnsi="Trebuchet MS" w:cs="Trebuchet MS"/>
      <w:color w:val="000000"/>
      <w:sz w:val="56"/>
      <w:szCs w:val="56"/>
    </w:rPr>
  </w:style>
  <w:style w:type="paragraph" w:styleId="Heading2">
    <w:name w:val="heading 2"/>
    <w:basedOn w:val="Normal"/>
    <w:next w:val="Normal"/>
    <w:pPr>
      <w:keepNext/>
      <w:keepLines/>
      <w:spacing w:before="120" w:after="0"/>
      <w:outlineLvl w:val="1"/>
    </w:pPr>
    <w:rPr>
      <w:rFonts w:ascii="Trebuchet MS" w:eastAsia="Trebuchet MS" w:hAnsi="Trebuchet MS" w:cs="Trebuchet MS"/>
      <w:color w:val="FF0000"/>
      <w:sz w:val="24"/>
      <w:szCs w:val="24"/>
    </w:rPr>
  </w:style>
  <w:style w:type="paragraph" w:styleId="Heading3">
    <w:name w:val="heading 3"/>
    <w:basedOn w:val="Normal"/>
    <w:next w:val="Normal"/>
    <w:pPr>
      <w:keepNext/>
      <w:keepLines/>
      <w:spacing w:before="200" w:after="0"/>
      <w:outlineLvl w:val="2"/>
    </w:pPr>
    <w:rPr>
      <w:rFonts w:ascii="Trebuchet MS" w:eastAsia="Trebuchet MS" w:hAnsi="Trebuchet MS" w:cs="Trebuchet MS"/>
      <w:color w:val="000000"/>
      <w:sz w:val="48"/>
      <w:szCs w:val="48"/>
    </w:rPr>
  </w:style>
  <w:style w:type="paragraph" w:styleId="Heading4">
    <w:name w:val="heading 4"/>
    <w:basedOn w:val="Normal"/>
    <w:next w:val="Normal"/>
    <w:pPr>
      <w:keepNext/>
      <w:keepLines/>
      <w:spacing w:after="0"/>
      <w:ind w:left="216"/>
      <w:outlineLvl w:val="3"/>
    </w:pPr>
    <w:rPr>
      <w:smallCaps/>
      <w:color w:val="FFFFFF"/>
    </w:rPr>
  </w:style>
  <w:style w:type="paragraph" w:styleId="Heading5">
    <w:name w:val="heading 5"/>
    <w:basedOn w:val="Normal"/>
    <w:next w:val="Normal"/>
    <w:pPr>
      <w:keepNext/>
      <w:keepLines/>
      <w:spacing w:before="120" w:after="0"/>
      <w:outlineLvl w:val="4"/>
    </w:pPr>
    <w:rPr>
      <w:smallCaps/>
      <w:sz w:val="14"/>
      <w:szCs w:val="14"/>
    </w:rPr>
  </w:style>
  <w:style w:type="paragraph" w:styleId="Heading6">
    <w:name w:val="heading 6"/>
    <w:basedOn w:val="Normal"/>
    <w:next w:val="Normal"/>
    <w:pPr>
      <w:keepNext/>
      <w:keepLines/>
      <w:spacing w:before="200" w:after="0"/>
      <w:outlineLvl w:val="5"/>
    </w:pPr>
    <w:rPr>
      <w:rFonts w:ascii="Trebuchet MS" w:eastAsia="Trebuchet MS" w:hAnsi="Trebuchet MS" w:cs="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00" w:after="0"/>
      <w:ind w:right="216"/>
      <w:jc w:val="right"/>
    </w:pPr>
    <w:rPr>
      <w:rFonts w:ascii="Trebuchet MS" w:eastAsia="Trebuchet MS" w:hAnsi="Trebuchet MS" w:cs="Trebuchet MS"/>
      <w:color w:val="FFFFFF"/>
      <w:sz w:val="72"/>
      <w:szCs w:val="72"/>
    </w:rPr>
  </w:style>
  <w:style w:type="paragraph" w:styleId="Subtitle">
    <w:name w:val="Subtitle"/>
    <w:basedOn w:val="Normal"/>
    <w:next w:val="Normal"/>
    <w:pPr>
      <w:ind w:right="216"/>
      <w:jc w:val="right"/>
    </w:pPr>
    <w:rPr>
      <w:rFonts w:ascii="Trebuchet MS" w:eastAsia="Trebuchet MS" w:hAnsi="Trebuchet MS" w:cs="Trebuchet MS"/>
      <w:color w:val="FFFFFF"/>
      <w:sz w:val="52"/>
      <w:szCs w:val="52"/>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left w:w="0" w:type="dxa"/>
        <w:right w:w="0" w:type="dxa"/>
      </w:tblCellMar>
    </w:tblPr>
  </w:style>
  <w:style w:type="table" w:customStyle="1" w:styleId="a1">
    <w:basedOn w:val="TableNormal"/>
    <w:pPr>
      <w:spacing w:after="0"/>
    </w:pPr>
    <w:tblPr>
      <w:tblStyleRowBandSize w:val="1"/>
      <w:tblStyleColBandSize w:val="1"/>
      <w:tblCellMar>
        <w:left w:w="0" w:type="dxa"/>
        <w:right w:w="0" w:type="dxa"/>
      </w:tblCellMar>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Richmond School</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Wardle</dc:creator>
  <cp:lastModifiedBy>Ceri Dennis</cp:lastModifiedBy>
  <cp:revision>3</cp:revision>
  <dcterms:created xsi:type="dcterms:W3CDTF">2020-02-04T09:25:00Z</dcterms:created>
  <dcterms:modified xsi:type="dcterms:W3CDTF">2020-02-04T17:36:00Z</dcterms:modified>
</cp:coreProperties>
</file>