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0079CD"/>
          <w:lang w:val="en-GB" w:eastAsia="en-GB"/>
        </w:rPr>
        <w:drawing>
          <wp:inline distT="0" distB="0" distL="0" distR="0">
            <wp:extent cx="2945877" cy="952500"/>
            <wp:effectExtent l="0" t="0" r="6985" b="0"/>
            <wp:docPr id="1" name="Picture 1" descr="cid:E124D9FE-3C9A-4F27-8FFC-661E02F7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124D9FE-3C9A-4F27-8FFC-661E02F7928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935" cy="9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ASSOCIATE TEACHER – Person Specification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788"/>
      </w:tblGrid>
      <w:tr>
        <w:tc>
          <w:tcPr>
            <w:tcW w:w="2127" w:type="dxa"/>
          </w:tcPr>
          <w:p>
            <w:pPr>
              <w:pStyle w:val="BodyText2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Knowledge and Understanding</w:t>
            </w:r>
          </w:p>
        </w:tc>
        <w:tc>
          <w:tcPr>
            <w:tcW w:w="8788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Of the needs and characteristics of young people.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Of the importance of positive role models for young people.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Of equal opportunities and anti-discriminatory practice in the context of the school community.</w:t>
            </w:r>
          </w:p>
          <w:p>
            <w:pPr>
              <w:spacing w:after="0" w:line="240" w:lineRule="auto"/>
              <w:ind w:left="340"/>
              <w:rPr>
                <w:rFonts w:ascii="Century Gothic" w:hAnsi="Century Gothic" w:cs="Tahoma"/>
                <w:sz w:val="24"/>
              </w:rPr>
            </w:pPr>
          </w:p>
          <w:p>
            <w:pPr>
              <w:spacing w:after="0" w:line="240" w:lineRule="auto"/>
              <w:ind w:left="340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Training will be provided in the following areas.  However, any experience would be an advantage: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Child protection.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Supervision and behaviour management techniques.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Strategies, including literacy, numeracy, ICT, independent learning, special educational needs and anti-racism to ensure effective learning.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Minibus driving</w:t>
            </w:r>
          </w:p>
        </w:tc>
      </w:tr>
      <w:tr>
        <w:tc>
          <w:tcPr>
            <w:tcW w:w="2127" w:type="dxa"/>
          </w:tcPr>
          <w:p>
            <w:pPr>
              <w:pStyle w:val="BodyText2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Skills and Abilities</w:t>
            </w:r>
          </w:p>
          <w:p>
            <w:pPr>
              <w:rPr>
                <w:rFonts w:ascii="Century Gothic" w:hAnsi="Century Gothic" w:cs="Tahoma"/>
                <w:b/>
                <w:sz w:val="24"/>
              </w:rPr>
            </w:pPr>
          </w:p>
        </w:tc>
        <w:tc>
          <w:tcPr>
            <w:tcW w:w="878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To communicate effectively.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To motivate and encourage students to work co-operatively.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 xml:space="preserve">To establish and maintain good professional relationships with adults and young people and to deal with difficult situations sensitively.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To be a team player.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To organise and co-ordinate classroom activities.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To plan and deliver effective lessons that ensure clear learning objectives are met.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To work independently, either in school or in pupils’ homes, using own or public transport when necessary.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 xml:space="preserve">Full clean UK driving licence and access to a car are </w:t>
            </w:r>
            <w:bookmarkStart w:id="0" w:name="_GoBack"/>
            <w:bookmarkEnd w:id="0"/>
            <w:r>
              <w:rPr>
                <w:rFonts w:ascii="Century Gothic" w:hAnsi="Century Gothic" w:cs="Tahoma"/>
                <w:sz w:val="24"/>
              </w:rPr>
              <w:t>essential</w:t>
            </w:r>
          </w:p>
        </w:tc>
      </w:tr>
      <w:tr>
        <w:tc>
          <w:tcPr>
            <w:tcW w:w="2127" w:type="dxa"/>
          </w:tcPr>
          <w:p>
            <w:pPr>
              <w:pStyle w:val="BodyText2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Attitudes and values</w:t>
            </w:r>
          </w:p>
        </w:tc>
        <w:tc>
          <w:tcPr>
            <w:tcW w:w="878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High expectations of personal performance and of pupils’ success.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Ability to adapt to different situations and show initiative.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Commitment to one’s own professional development.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A belief that schools and individuals can make a difference.</w:t>
            </w:r>
          </w:p>
        </w:tc>
      </w:tr>
      <w:tr>
        <w:tc>
          <w:tcPr>
            <w:tcW w:w="2127" w:type="dxa"/>
          </w:tcPr>
          <w:p>
            <w:pPr>
              <w:rPr>
                <w:rFonts w:ascii="Century Gothic" w:hAnsi="Century Gothic" w:cs="Tahoma"/>
                <w:b/>
                <w:sz w:val="24"/>
              </w:rPr>
            </w:pPr>
            <w:r>
              <w:rPr>
                <w:rFonts w:ascii="Century Gothic" w:hAnsi="Century Gothic" w:cs="Tahoma"/>
                <w:b/>
                <w:sz w:val="24"/>
              </w:rPr>
              <w:t>Education</w:t>
            </w:r>
          </w:p>
        </w:tc>
        <w:tc>
          <w:tcPr>
            <w:tcW w:w="878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Educated to level 2 minimum (GCSE grade C or above in English and Maths).</w:t>
            </w:r>
          </w:p>
        </w:tc>
      </w:tr>
      <w:tr>
        <w:tc>
          <w:tcPr>
            <w:tcW w:w="2127" w:type="dxa"/>
          </w:tcPr>
          <w:p>
            <w:pPr>
              <w:rPr>
                <w:rFonts w:ascii="Century Gothic" w:hAnsi="Century Gothic" w:cs="Tahoma"/>
                <w:b/>
                <w:sz w:val="24"/>
              </w:rPr>
            </w:pPr>
            <w:r>
              <w:rPr>
                <w:rFonts w:ascii="Century Gothic" w:hAnsi="Century Gothic" w:cs="Tahoma"/>
                <w:b/>
                <w:sz w:val="24"/>
              </w:rPr>
              <w:t>Special Requirements</w:t>
            </w:r>
          </w:p>
        </w:tc>
        <w:tc>
          <w:tcPr>
            <w:tcW w:w="8788" w:type="dxa"/>
          </w:tcPr>
          <w:p>
            <w:pPr>
              <w:pStyle w:val="HeaderData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 w:cs="Tahoma"/>
                <w:sz w:val="24"/>
              </w:rPr>
            </w:pPr>
            <w:r>
              <w:rPr>
                <w:rFonts w:ascii="Century Gothic" w:hAnsi="Century Gothic" w:cs="Tahoma"/>
                <w:sz w:val="24"/>
              </w:rPr>
              <w:t>This post is exempt from the provisions of the Rehabilitation of Offenders Act 1974.  A Data Barring Service disclosure will be required prior to appointment.</w:t>
            </w:r>
          </w:p>
        </w:tc>
      </w:tr>
    </w:tbl>
    <w:p>
      <w:pPr>
        <w:rPr>
          <w:rFonts w:ascii="Century Gothic" w:hAnsi="Century Gothic"/>
          <w:b/>
          <w:sz w:val="24"/>
        </w:rPr>
      </w:pPr>
    </w:p>
    <w:sectPr>
      <w:pgSz w:w="11906" w:h="16838"/>
      <w:pgMar w:top="737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3D6"/>
    <w:multiLevelType w:val="singleLevel"/>
    <w:tmpl w:val="0FA80E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 w15:restartNumberingAfterBreak="0">
    <w:nsid w:val="283E1D29"/>
    <w:multiLevelType w:val="singleLevel"/>
    <w:tmpl w:val="B648573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" w15:restartNumberingAfterBreak="0">
    <w:nsid w:val="2B453564"/>
    <w:multiLevelType w:val="singleLevel"/>
    <w:tmpl w:val="0FA80E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3D675194"/>
    <w:multiLevelType w:val="hybridMultilevel"/>
    <w:tmpl w:val="CA48D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4791C"/>
    <w:multiLevelType w:val="hybridMultilevel"/>
    <w:tmpl w:val="170A2A5E"/>
    <w:lvl w:ilvl="0" w:tplc="0FA80E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49A9"/>
    <w:multiLevelType w:val="singleLevel"/>
    <w:tmpl w:val="0FA80E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51E5C-9050-4947-9400-E404637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  <w:szCs w:val="24"/>
    </w:rPr>
  </w:style>
  <w:style w:type="character" w:styleId="FollowedHyperlink">
    <w:name w:val="FollowedHyperlink"/>
    <w:basedOn w:val="DefaultParagraphFont"/>
    <w:rPr>
      <w:color w:val="3C73AA"/>
      <w:u w:val="none"/>
    </w:rPr>
  </w:style>
  <w:style w:type="character" w:styleId="HTMLCode">
    <w:name w:val="HTML Code"/>
    <w:basedOn w:val="DefaultParagraphFont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rPr>
      <w:rFonts w:ascii="Menlo" w:eastAsia="Menlo" w:hAnsi="Menlo" w:cs="Menlo"/>
      <w:sz w:val="21"/>
      <w:szCs w:val="21"/>
    </w:rPr>
  </w:style>
  <w:style w:type="character" w:styleId="Hyperlink">
    <w:name w:val="Hyperlink"/>
    <w:basedOn w:val="DefaultParagraphFont"/>
    <w:rPr>
      <w:color w:val="3C73AA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int">
    <w:name w:val="hint"/>
    <w:qFormat/>
    <w:rPr>
      <w:sz w:val="16"/>
      <w:szCs w:val="16"/>
    </w:rPr>
  </w:style>
  <w:style w:type="character" w:customStyle="1" w:styleId="hover7">
    <w:name w:val="hover7"/>
    <w:qFormat/>
    <w:rPr>
      <w:shd w:val="clear" w:color="auto" w:fill="EEEEEE"/>
    </w:rPr>
  </w:style>
  <w:style w:type="character" w:customStyle="1" w:styleId="new">
    <w:name w:val="new"/>
    <w:rPr>
      <w:color w:val="777777"/>
    </w:rPr>
  </w:style>
  <w:style w:type="character" w:customStyle="1" w:styleId="old">
    <w:name w:val="old"/>
    <w:rPr>
      <w:color w:val="777777"/>
    </w:rPr>
  </w:style>
  <w:style w:type="character" w:customStyle="1" w:styleId="person2">
    <w:name w:val="person2"/>
    <w:qFormat/>
    <w:rPr>
      <w:b/>
    </w:rPr>
  </w:style>
  <w:style w:type="character" w:customStyle="1" w:styleId="person3">
    <w:name w:val="person3"/>
  </w:style>
  <w:style w:type="character" w:customStyle="1" w:styleId="person4">
    <w:name w:val="person4"/>
    <w:qFormat/>
  </w:style>
  <w:style w:type="character" w:customStyle="1" w:styleId="person5">
    <w:name w:val="person5"/>
    <w:qFormat/>
    <w:rPr>
      <w:b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Times New Roman"/>
      <w:sz w:val="24"/>
      <w:lang w:eastAsia="en-US"/>
    </w:rPr>
  </w:style>
  <w:style w:type="paragraph" w:customStyle="1" w:styleId="HeaderData">
    <w:name w:val="HeaderData"/>
    <w:basedOn w:val="Normal"/>
    <w:pPr>
      <w:spacing w:after="0" w:line="280" w:lineRule="exact"/>
    </w:pPr>
    <w:rPr>
      <w:rFonts w:ascii="Arial" w:eastAsia="Times New Roman" w:hAnsi="Arial" w:cs="Times New Roman"/>
      <w:sz w:val="22"/>
      <w:lang w:val="en-GB" w:eastAsia="en-GB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E124D9FE-3C9A-4F27-8FFC-661E02F79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BD1108B3</Template>
  <TotalTime>7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CPierce</dc:creator>
  <cp:lastModifiedBy>Cathy Pierce</cp:lastModifiedBy>
  <cp:revision>4</cp:revision>
  <cp:lastPrinted>2019-03-21T12:55:00Z</cp:lastPrinted>
  <dcterms:created xsi:type="dcterms:W3CDTF">2018-01-22T10:50:00Z</dcterms:created>
  <dcterms:modified xsi:type="dcterms:W3CDTF">2019-03-21T12:56:00Z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2057-10.1.0.5584</vt:lpwstr>
  </property>
</Properties>
</file>