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823"/>
        <w:gridCol w:w="1275"/>
        <w:gridCol w:w="4395"/>
      </w:tblGrid>
      <w:tr w:rsidR="00E30E29" w:rsidRPr="0055172F" w14:paraId="13C27760" w14:textId="77777777" w:rsidTr="0079391C">
        <w:trPr>
          <w:trHeight w:val="1975"/>
        </w:trPr>
        <w:tc>
          <w:tcPr>
            <w:tcW w:w="5098" w:type="dxa"/>
            <w:gridSpan w:val="2"/>
          </w:tcPr>
          <w:p w14:paraId="0BBCB874" w14:textId="77777777" w:rsidR="00F70EEF" w:rsidRPr="0055172F" w:rsidRDefault="00876070" w:rsidP="0079391C">
            <w:pPr>
              <w:jc w:val="center"/>
              <w:rPr>
                <w:rFonts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55172F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73C4B41" wp14:editId="5C7B1ED2">
                  <wp:extent cx="1888177" cy="826274"/>
                  <wp:effectExtent l="0" t="0" r="0" b="0"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407" cy="883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14:paraId="61FCEA8B" w14:textId="4AD72FA4" w:rsidR="00E30E29" w:rsidRDefault="00E30E29" w:rsidP="0079391C">
            <w:pPr>
              <w:pStyle w:val="NoSpacing"/>
              <w:jc w:val="both"/>
            </w:pPr>
          </w:p>
          <w:p w14:paraId="1AACB97F" w14:textId="6F54FEFF" w:rsidR="0079391C" w:rsidRPr="0055172F" w:rsidRDefault="0079391C" w:rsidP="0079391C">
            <w:pPr>
              <w:pStyle w:val="NoSpacing"/>
              <w:jc w:val="both"/>
            </w:pPr>
          </w:p>
          <w:p w14:paraId="3EBEBD5F" w14:textId="0F2B0663" w:rsidR="0055172F" w:rsidRPr="0055172F" w:rsidRDefault="0055172F" w:rsidP="0079391C">
            <w:pPr>
              <w:pStyle w:val="NoSpacing"/>
              <w:jc w:val="both"/>
              <w:rPr>
                <w:b/>
              </w:rPr>
            </w:pPr>
          </w:p>
          <w:p w14:paraId="3673CE6A" w14:textId="77777777" w:rsidR="007B6DBA" w:rsidRPr="0055172F" w:rsidRDefault="00D9687F" w:rsidP="0079391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Trust Lead for Attendance and Welfare</w:t>
            </w:r>
          </w:p>
        </w:tc>
      </w:tr>
      <w:tr w:rsidR="00E30E29" w:rsidRPr="0055172F" w14:paraId="5A07411D" w14:textId="77777777" w:rsidTr="00765A5B">
        <w:tc>
          <w:tcPr>
            <w:tcW w:w="9493" w:type="dxa"/>
            <w:gridSpan w:val="3"/>
            <w:shd w:val="clear" w:color="auto" w:fill="C5E0B3" w:themeFill="accent6" w:themeFillTint="66"/>
          </w:tcPr>
          <w:p w14:paraId="266A6090" w14:textId="77777777" w:rsidR="00E30E29" w:rsidRPr="0055172F" w:rsidRDefault="00E30E29" w:rsidP="0079391C">
            <w:pPr>
              <w:jc w:val="both"/>
              <w:rPr>
                <w:rFonts w:cs="Arial"/>
                <w:b/>
                <w:sz w:val="28"/>
                <w:szCs w:val="28"/>
              </w:rPr>
            </w:pPr>
            <w:r w:rsidRPr="0055172F">
              <w:rPr>
                <w:rFonts w:cs="Arial"/>
                <w:b/>
                <w:sz w:val="28"/>
                <w:szCs w:val="28"/>
              </w:rPr>
              <w:t>Core Purpose</w:t>
            </w:r>
          </w:p>
        </w:tc>
      </w:tr>
      <w:tr w:rsidR="00E30E29" w:rsidRPr="0055172F" w14:paraId="69B21572" w14:textId="77777777" w:rsidTr="00765A5B">
        <w:tc>
          <w:tcPr>
            <w:tcW w:w="9493" w:type="dxa"/>
            <w:gridSpan w:val="3"/>
          </w:tcPr>
          <w:p w14:paraId="6359D657" w14:textId="77777777" w:rsidR="006E515C" w:rsidRPr="00765A5B" w:rsidRDefault="006E515C" w:rsidP="0079391C">
            <w:pPr>
              <w:pStyle w:val="NormalWeb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5A5B">
              <w:rPr>
                <w:rFonts w:asciiTheme="minorHAnsi" w:hAnsiTheme="minorHAnsi" w:cstheme="minorHAnsi"/>
                <w:sz w:val="22"/>
                <w:szCs w:val="22"/>
              </w:rPr>
              <w:t>To lead a professional attendance and welfare function that is integral to the management and delivery of services, drives excellence, and ena</w:t>
            </w:r>
            <w:r w:rsidR="009226CE" w:rsidRPr="00765A5B">
              <w:rPr>
                <w:rFonts w:asciiTheme="minorHAnsi" w:hAnsiTheme="minorHAnsi" w:cstheme="minorHAnsi"/>
                <w:sz w:val="22"/>
                <w:szCs w:val="22"/>
              </w:rPr>
              <w:t xml:space="preserve">bles senior managers </w:t>
            </w:r>
            <w:r w:rsidRPr="00765A5B">
              <w:rPr>
                <w:rFonts w:asciiTheme="minorHAnsi" w:hAnsiTheme="minorHAnsi" w:cstheme="minorHAnsi"/>
                <w:sz w:val="22"/>
                <w:szCs w:val="22"/>
              </w:rPr>
              <w:t xml:space="preserve">to deliver their key outcomes. </w:t>
            </w:r>
          </w:p>
          <w:p w14:paraId="0880BB86" w14:textId="20CA4481" w:rsidR="00765A5B" w:rsidRPr="00765A5B" w:rsidRDefault="00765A5B" w:rsidP="0079391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</w:pPr>
            <w:r w:rsidRPr="00765A5B">
              <w:t xml:space="preserve">To promote and ensure that </w:t>
            </w:r>
            <w:r w:rsidR="0079391C">
              <w:t xml:space="preserve">the </w:t>
            </w:r>
            <w:r w:rsidRPr="00765A5B">
              <w:t>TGAT Attendance and Punctuality Policy and guidance is followed and implemented throughout the trust.</w:t>
            </w:r>
          </w:p>
          <w:p w14:paraId="4DA6B714" w14:textId="77777777" w:rsidR="006E515C" w:rsidRPr="00765A5B" w:rsidRDefault="006E515C" w:rsidP="0079391C">
            <w:pPr>
              <w:pStyle w:val="NormalWeb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5A5B">
              <w:rPr>
                <w:rFonts w:asciiTheme="minorHAnsi" w:hAnsiTheme="minorHAnsi" w:cstheme="minorHAnsi"/>
                <w:sz w:val="22"/>
                <w:szCs w:val="22"/>
              </w:rPr>
              <w:t xml:space="preserve">To lead and co-ordinate projects and packages of work in response to corporate and service requirements, liaising with colleagues across the </w:t>
            </w:r>
            <w:r w:rsidR="009226CE" w:rsidRPr="00765A5B">
              <w:rPr>
                <w:rFonts w:asciiTheme="minorHAnsi" w:hAnsiTheme="minorHAnsi" w:cstheme="minorHAnsi"/>
                <w:sz w:val="22"/>
                <w:szCs w:val="22"/>
              </w:rPr>
              <w:t>trust</w:t>
            </w:r>
            <w:r w:rsidRPr="00765A5B">
              <w:rPr>
                <w:rFonts w:asciiTheme="minorHAnsi" w:hAnsiTheme="minorHAnsi" w:cstheme="minorHAnsi"/>
                <w:sz w:val="22"/>
                <w:szCs w:val="22"/>
              </w:rPr>
              <w:t xml:space="preserve"> in order to produce quality outputs, meet deadlines and provide a high level of assurance. </w:t>
            </w:r>
          </w:p>
          <w:p w14:paraId="0FCA6B56" w14:textId="77777777" w:rsidR="006E515C" w:rsidRPr="00765A5B" w:rsidRDefault="006E515C" w:rsidP="0079391C">
            <w:pPr>
              <w:pStyle w:val="NormalWeb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5A5B">
              <w:rPr>
                <w:rFonts w:asciiTheme="minorHAnsi" w:hAnsiTheme="minorHAnsi" w:cstheme="minorHAnsi"/>
                <w:sz w:val="22"/>
                <w:szCs w:val="22"/>
              </w:rPr>
              <w:t>To identify and implement new initiativ</w:t>
            </w:r>
            <w:r w:rsidR="00765A5B" w:rsidRPr="00765A5B">
              <w:rPr>
                <w:rFonts w:asciiTheme="minorHAnsi" w:hAnsiTheme="minorHAnsi" w:cstheme="minorHAnsi"/>
                <w:sz w:val="22"/>
                <w:szCs w:val="22"/>
              </w:rPr>
              <w:t xml:space="preserve">es to improve service delivery </w:t>
            </w:r>
            <w:r w:rsidRPr="00765A5B">
              <w:rPr>
                <w:rFonts w:asciiTheme="minorHAnsi" w:hAnsiTheme="minorHAnsi" w:cstheme="minorHAnsi"/>
                <w:sz w:val="22"/>
                <w:szCs w:val="22"/>
              </w:rPr>
              <w:t xml:space="preserve">and promoting a culture of continuous improvement. </w:t>
            </w:r>
          </w:p>
          <w:p w14:paraId="63847963" w14:textId="77777777" w:rsidR="00A24E41" w:rsidRPr="00765A5B" w:rsidRDefault="00A24E41" w:rsidP="0079391C">
            <w:pPr>
              <w:pStyle w:val="NormalWeb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5A5B">
              <w:rPr>
                <w:rFonts w:asciiTheme="minorHAnsi" w:hAnsiTheme="minorHAnsi" w:cstheme="minorHAnsi"/>
                <w:sz w:val="22"/>
                <w:szCs w:val="22"/>
              </w:rPr>
              <w:t xml:space="preserve">Devise and implement procedures to meet the </w:t>
            </w:r>
            <w:r w:rsidR="00E474FB" w:rsidRPr="00765A5B">
              <w:rPr>
                <w:rFonts w:asciiTheme="minorHAnsi" w:hAnsiTheme="minorHAnsi" w:cstheme="minorHAnsi"/>
                <w:sz w:val="22"/>
                <w:szCs w:val="22"/>
              </w:rPr>
              <w:t>organisational</w:t>
            </w:r>
            <w:r w:rsidRPr="00765A5B">
              <w:rPr>
                <w:rFonts w:asciiTheme="minorHAnsi" w:hAnsiTheme="minorHAnsi" w:cstheme="minorHAnsi"/>
                <w:sz w:val="22"/>
                <w:szCs w:val="22"/>
              </w:rPr>
              <w:t xml:space="preserve"> and strategic demands of the Academies. </w:t>
            </w:r>
          </w:p>
          <w:p w14:paraId="6C31BF2D" w14:textId="77777777" w:rsidR="00A24E41" w:rsidRPr="00765A5B" w:rsidRDefault="00A24E41" w:rsidP="0079391C">
            <w:pPr>
              <w:pStyle w:val="NormalWeb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5A5B">
              <w:rPr>
                <w:rFonts w:asciiTheme="minorHAnsi" w:hAnsiTheme="minorHAnsi" w:cstheme="minorHAnsi"/>
                <w:sz w:val="22"/>
                <w:szCs w:val="22"/>
              </w:rPr>
              <w:t>Provide strong support to staff. Audit, develop and deliver a training progra</w:t>
            </w:r>
            <w:r w:rsidR="009226CE" w:rsidRPr="00765A5B">
              <w:rPr>
                <w:rFonts w:asciiTheme="minorHAnsi" w:hAnsiTheme="minorHAnsi" w:cstheme="minorHAnsi"/>
                <w:sz w:val="22"/>
                <w:szCs w:val="22"/>
              </w:rPr>
              <w:t xml:space="preserve">mme for relevant staff through training </w:t>
            </w:r>
            <w:r w:rsidR="00765A5B" w:rsidRPr="00765A5B">
              <w:rPr>
                <w:rFonts w:asciiTheme="minorHAnsi" w:hAnsiTheme="minorHAnsi" w:cstheme="minorHAnsi"/>
                <w:sz w:val="22"/>
                <w:szCs w:val="22"/>
              </w:rPr>
              <w:t>days</w:t>
            </w:r>
            <w:r w:rsidRPr="00765A5B">
              <w:rPr>
                <w:rFonts w:asciiTheme="minorHAnsi" w:hAnsiTheme="minorHAnsi" w:cstheme="minorHAnsi"/>
                <w:sz w:val="22"/>
                <w:szCs w:val="22"/>
              </w:rPr>
              <w:t xml:space="preserve"> and one to one training. </w:t>
            </w:r>
          </w:p>
          <w:p w14:paraId="4B8016FC" w14:textId="77777777" w:rsidR="00A24E41" w:rsidRPr="00765A5B" w:rsidRDefault="00A24E41" w:rsidP="0079391C">
            <w:pPr>
              <w:pStyle w:val="NormalWeb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5A5B">
              <w:rPr>
                <w:rFonts w:asciiTheme="minorHAnsi" w:hAnsiTheme="minorHAnsi" w:cstheme="minorHAnsi"/>
                <w:sz w:val="22"/>
                <w:szCs w:val="22"/>
              </w:rPr>
              <w:t xml:space="preserve">Support non-teaching staff in using data systems to improve their productivity both in the short and long term. </w:t>
            </w:r>
          </w:p>
          <w:p w14:paraId="0BFEA248" w14:textId="77777777" w:rsidR="0055172F" w:rsidRPr="00765A5B" w:rsidRDefault="00A24E41" w:rsidP="0079391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</w:pPr>
            <w:r w:rsidRPr="00765A5B">
              <w:t xml:space="preserve">Provide </w:t>
            </w:r>
            <w:r w:rsidR="00765A5B" w:rsidRPr="00765A5B">
              <w:t xml:space="preserve">support for </w:t>
            </w:r>
            <w:r w:rsidR="00765A5B" w:rsidRPr="00765A5B">
              <w:rPr>
                <w:rFonts w:cstheme="minorHAnsi"/>
              </w:rPr>
              <w:t>Attendance</w:t>
            </w:r>
            <w:r w:rsidR="0055172F" w:rsidRPr="00765A5B">
              <w:t xml:space="preserve"> Welfare Officers within the Academies </w:t>
            </w:r>
            <w:r w:rsidR="006E515C" w:rsidRPr="00765A5B">
              <w:t xml:space="preserve">to ensure they </w:t>
            </w:r>
            <w:proofErr w:type="gramStart"/>
            <w:r w:rsidR="00ED3AFE" w:rsidRPr="00765A5B">
              <w:t>have an understanding of</w:t>
            </w:r>
            <w:proofErr w:type="gramEnd"/>
            <w:r w:rsidR="00ED3AFE" w:rsidRPr="00765A5B">
              <w:t xml:space="preserve"> </w:t>
            </w:r>
            <w:r w:rsidR="008E225F" w:rsidRPr="00765A5B">
              <w:t xml:space="preserve">the </w:t>
            </w:r>
            <w:r w:rsidR="00ED3AFE" w:rsidRPr="00765A5B">
              <w:t xml:space="preserve">Attendance </w:t>
            </w:r>
            <w:r w:rsidR="0055172F" w:rsidRPr="00765A5B">
              <w:t xml:space="preserve">Policy and guidance </w:t>
            </w:r>
            <w:r w:rsidR="006E515C" w:rsidRPr="00765A5B">
              <w:rPr>
                <w:rFonts w:cstheme="minorHAnsi"/>
              </w:rPr>
              <w:t xml:space="preserve">so that they are able to deal effectively </w:t>
            </w:r>
            <w:r w:rsidR="00ED3AFE" w:rsidRPr="00765A5B">
              <w:t>with ongoing case work.</w:t>
            </w:r>
          </w:p>
          <w:p w14:paraId="42A46ABD" w14:textId="77777777" w:rsidR="00374EAC" w:rsidRPr="00765A5B" w:rsidRDefault="00374EAC" w:rsidP="0079391C">
            <w:pPr>
              <w:pStyle w:val="NormalWeb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5A5B">
              <w:rPr>
                <w:rFonts w:asciiTheme="minorHAnsi" w:hAnsiTheme="minorHAnsi" w:cstheme="minorHAnsi"/>
                <w:sz w:val="22"/>
                <w:szCs w:val="22"/>
              </w:rPr>
              <w:t xml:space="preserve">Take a leadership role in keeping up to date with new developments related to attendance legislation, reporting back to the College Leadership Team on a regular basis and disseminate good practice. </w:t>
            </w:r>
          </w:p>
          <w:p w14:paraId="389FB28C" w14:textId="77777777" w:rsidR="00374EAC" w:rsidRPr="00765A5B" w:rsidRDefault="0055172F" w:rsidP="0079391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</w:pPr>
            <w:r w:rsidRPr="00765A5B">
              <w:t xml:space="preserve">To </w:t>
            </w:r>
            <w:r w:rsidR="00374EAC" w:rsidRPr="00765A5B">
              <w:t xml:space="preserve">take a lead role in meetings with parents, staff and other </w:t>
            </w:r>
            <w:r w:rsidR="008E225F" w:rsidRPr="00765A5B">
              <w:t>Attendance Welfare</w:t>
            </w:r>
            <w:r w:rsidR="00374EAC" w:rsidRPr="00765A5B">
              <w:t xml:space="preserve"> Officers in relation to a child’s welfare.</w:t>
            </w:r>
          </w:p>
          <w:p w14:paraId="61916F30" w14:textId="77777777" w:rsidR="0055172F" w:rsidRPr="00765A5B" w:rsidRDefault="00ED3AFE" w:rsidP="0079391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</w:pPr>
            <w:r w:rsidRPr="00765A5B">
              <w:t>P</w:t>
            </w:r>
            <w:r w:rsidR="008E225F" w:rsidRPr="00765A5B">
              <w:t>romote individual students</w:t>
            </w:r>
            <w:r w:rsidR="0055172F" w:rsidRPr="00765A5B">
              <w:t xml:space="preserve"> progress by helping them to overcome difficulties that may hinder their attendance.</w:t>
            </w:r>
          </w:p>
          <w:p w14:paraId="23636579" w14:textId="77777777" w:rsidR="0055172F" w:rsidRPr="00765A5B" w:rsidRDefault="0055172F" w:rsidP="0079391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</w:pPr>
            <w:r w:rsidRPr="00765A5B">
              <w:t>To maintain effective liaison between individual students, their parents, their teachers and tutors.</w:t>
            </w:r>
          </w:p>
          <w:p w14:paraId="01D614BE" w14:textId="3EE8FF67" w:rsidR="00765A5B" w:rsidRDefault="008E225F" w:rsidP="0079391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</w:pPr>
            <w:r w:rsidRPr="00765A5B">
              <w:t xml:space="preserve">To promote individual </w:t>
            </w:r>
            <w:proofErr w:type="gramStart"/>
            <w:r w:rsidRPr="00765A5B">
              <w:t>students</w:t>
            </w:r>
            <w:proofErr w:type="gramEnd"/>
            <w:r w:rsidR="00B35BD7" w:rsidRPr="00765A5B">
              <w:t xml:space="preserve"> progress by helping them to overcome difficulties that may hinder their attendance.</w:t>
            </w:r>
          </w:p>
          <w:p w14:paraId="7FF80A5A" w14:textId="0B9AF181" w:rsidR="00765A5B" w:rsidRPr="00765A5B" w:rsidRDefault="00765A5B" w:rsidP="0079391C">
            <w:pPr>
              <w:spacing w:after="0" w:line="240" w:lineRule="auto"/>
              <w:jc w:val="both"/>
            </w:pPr>
          </w:p>
        </w:tc>
      </w:tr>
      <w:tr w:rsidR="00E30E29" w:rsidRPr="0055172F" w14:paraId="0AA97DEC" w14:textId="77777777" w:rsidTr="00765A5B">
        <w:tc>
          <w:tcPr>
            <w:tcW w:w="9493" w:type="dxa"/>
            <w:gridSpan w:val="3"/>
            <w:shd w:val="clear" w:color="auto" w:fill="C5E0B3" w:themeFill="accent6" w:themeFillTint="66"/>
          </w:tcPr>
          <w:p w14:paraId="6FEDA395" w14:textId="77777777" w:rsidR="00E30E29" w:rsidRPr="00765A5B" w:rsidRDefault="00876070" w:rsidP="0079391C">
            <w:pPr>
              <w:jc w:val="both"/>
              <w:rPr>
                <w:rFonts w:cs="Arial"/>
                <w:b/>
              </w:rPr>
            </w:pPr>
            <w:r w:rsidRPr="00765A5B">
              <w:rPr>
                <w:rFonts w:cs="Arial"/>
                <w:b/>
              </w:rPr>
              <w:t>Specific tasks</w:t>
            </w:r>
          </w:p>
        </w:tc>
      </w:tr>
      <w:tr w:rsidR="00E30E29" w:rsidRPr="0055172F" w14:paraId="08AE7F2C" w14:textId="77777777" w:rsidTr="00765A5B">
        <w:tc>
          <w:tcPr>
            <w:tcW w:w="9493" w:type="dxa"/>
            <w:gridSpan w:val="3"/>
          </w:tcPr>
          <w:p w14:paraId="235084B4" w14:textId="77777777" w:rsidR="005C7419" w:rsidRPr="00765A5B" w:rsidRDefault="005C7419" w:rsidP="0079391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</w:pPr>
            <w:r w:rsidRPr="00765A5B">
              <w:t>To act in accordance with and in support of the a</w:t>
            </w:r>
            <w:r w:rsidR="00176A49" w:rsidRPr="00765A5B">
              <w:t>ims and policies of the Trust</w:t>
            </w:r>
          </w:p>
          <w:p w14:paraId="62FFA92E" w14:textId="77777777" w:rsidR="005C7419" w:rsidRPr="00765A5B" w:rsidRDefault="005C7419" w:rsidP="0079391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</w:pPr>
            <w:r w:rsidRPr="00765A5B">
              <w:t>To undertake tasks and projects as iden</w:t>
            </w:r>
            <w:r w:rsidR="00176A49" w:rsidRPr="00765A5B">
              <w:t>tified by the Executive Team</w:t>
            </w:r>
            <w:r w:rsidRPr="00765A5B">
              <w:t>, using personal and professional initiative within</w:t>
            </w:r>
            <w:r w:rsidR="00176A49" w:rsidRPr="00765A5B">
              <w:t xml:space="preserve"> the parameters of the TGAT</w:t>
            </w:r>
            <w:r w:rsidRPr="00765A5B">
              <w:t xml:space="preserve"> policies and procedures.</w:t>
            </w:r>
          </w:p>
          <w:p w14:paraId="050A47F8" w14:textId="77777777" w:rsidR="00627297" w:rsidRPr="00765A5B" w:rsidRDefault="00627297" w:rsidP="0079391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</w:pPr>
            <w:r w:rsidRPr="00765A5B">
              <w:t>Write and i</w:t>
            </w:r>
            <w:r w:rsidR="00176A49" w:rsidRPr="00765A5B">
              <w:t xml:space="preserve">mplement </w:t>
            </w:r>
            <w:r w:rsidR="008F3191" w:rsidRPr="00765A5B">
              <w:t>attendance</w:t>
            </w:r>
            <w:r w:rsidR="00373DC8" w:rsidRPr="00765A5B">
              <w:t xml:space="preserve"> and punctuality</w:t>
            </w:r>
            <w:r w:rsidR="008F3191" w:rsidRPr="00765A5B">
              <w:t xml:space="preserve"> procedures that address</w:t>
            </w:r>
            <w:r w:rsidRPr="00765A5B">
              <w:t xml:space="preserve"> specific attendance</w:t>
            </w:r>
            <w:r w:rsidR="00373DC8" w:rsidRPr="00765A5B">
              <w:t xml:space="preserve"> and punctuality</w:t>
            </w:r>
            <w:r w:rsidRPr="00765A5B">
              <w:t xml:space="preserve"> issues with students and families </w:t>
            </w:r>
            <w:r w:rsidR="008F3191" w:rsidRPr="00765A5B">
              <w:t xml:space="preserve">and </w:t>
            </w:r>
            <w:r w:rsidRPr="00765A5B">
              <w:t>within the academies of TGAT.</w:t>
            </w:r>
            <w:r w:rsidR="008F3191" w:rsidRPr="00765A5B">
              <w:t xml:space="preserve"> </w:t>
            </w:r>
          </w:p>
          <w:p w14:paraId="7677AB0A" w14:textId="77777777" w:rsidR="00636396" w:rsidRPr="00765A5B" w:rsidRDefault="00636396" w:rsidP="0079391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</w:pPr>
            <w:r w:rsidRPr="00765A5B">
              <w:t>The procedure to include the appropriate legal guidance for Penalty Notices and court cases under the Education Act 1969 section 444 1 or 1A.</w:t>
            </w:r>
          </w:p>
          <w:p w14:paraId="67E99671" w14:textId="77777777" w:rsidR="008B1DE0" w:rsidRPr="00765A5B" w:rsidRDefault="008B1DE0" w:rsidP="0079391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</w:pPr>
            <w:r w:rsidRPr="00765A5B">
              <w:lastRenderedPageBreak/>
              <w:t>Write and implement the Leave of Absence process.</w:t>
            </w:r>
          </w:p>
          <w:p w14:paraId="073D57FA" w14:textId="77777777" w:rsidR="00BA2F53" w:rsidRPr="00765A5B" w:rsidRDefault="00BA2F53" w:rsidP="0079391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</w:pPr>
            <w:r w:rsidRPr="00765A5B">
              <w:t>Write and implement Quality Assurance for Attendance.</w:t>
            </w:r>
          </w:p>
          <w:p w14:paraId="5764CD03" w14:textId="77777777" w:rsidR="008F3191" w:rsidRPr="00765A5B" w:rsidRDefault="00373DC8" w:rsidP="0079391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</w:pPr>
            <w:r w:rsidRPr="00765A5B">
              <w:t xml:space="preserve">Ensure that the Attendance Welfare Officers, other personnel who </w:t>
            </w:r>
            <w:r w:rsidR="00012F40" w:rsidRPr="00765A5B">
              <w:t>manage attendance and senior staff have</w:t>
            </w:r>
            <w:r w:rsidRPr="00765A5B">
              <w:t xml:space="preserve"> a working understanding of the attendance</w:t>
            </w:r>
            <w:r w:rsidR="008B1DE0" w:rsidRPr="00765A5B">
              <w:t xml:space="preserve"> and punctuality and Leave of Absence process.</w:t>
            </w:r>
          </w:p>
          <w:p w14:paraId="5119D8F6" w14:textId="77777777" w:rsidR="00F15458" w:rsidRPr="00765A5B" w:rsidRDefault="00765A5B" w:rsidP="0079391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</w:pPr>
            <w:r w:rsidRPr="00765A5B">
              <w:t>Carry out visits</w:t>
            </w:r>
            <w:r w:rsidR="00F15458" w:rsidRPr="00765A5B">
              <w:t xml:space="preserve"> on a regular basis with each Attendance Welfare Officer to ensure that students who could fall or are in the category of persistent absence</w:t>
            </w:r>
            <w:r w:rsidR="00872088" w:rsidRPr="00765A5B">
              <w:t xml:space="preserve"> are being addressed through the attendance and punctuality process.</w:t>
            </w:r>
          </w:p>
          <w:p w14:paraId="67A52C48" w14:textId="520B5715" w:rsidR="00872088" w:rsidRPr="00765A5B" w:rsidRDefault="00A345BA" w:rsidP="0079391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</w:pPr>
            <w:r w:rsidRPr="00765A5B">
              <w:t xml:space="preserve">Where necessary </w:t>
            </w:r>
            <w:proofErr w:type="gramStart"/>
            <w:r w:rsidR="0079391C">
              <w:t>advis</w:t>
            </w:r>
            <w:r w:rsidR="005D32A6" w:rsidRPr="00765A5B">
              <w:t>e</w:t>
            </w:r>
            <w:proofErr w:type="gramEnd"/>
            <w:r w:rsidR="00872088" w:rsidRPr="00765A5B">
              <w:t xml:space="preserve"> what action needs to be taken or how to approach </w:t>
            </w:r>
            <w:r w:rsidR="00F81118" w:rsidRPr="00765A5B">
              <w:t>certain situations.</w:t>
            </w:r>
          </w:p>
          <w:p w14:paraId="46A0BAF8" w14:textId="77777777" w:rsidR="00872088" w:rsidRPr="00765A5B" w:rsidRDefault="00872088" w:rsidP="0079391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</w:pPr>
            <w:r w:rsidRPr="00765A5B">
              <w:t xml:space="preserve">Issues formal </w:t>
            </w:r>
            <w:r w:rsidR="00A345BA" w:rsidRPr="00765A5B">
              <w:t xml:space="preserve">legal binding </w:t>
            </w:r>
            <w:r w:rsidRPr="00765A5B">
              <w:t>warning letters to parents when required.</w:t>
            </w:r>
          </w:p>
          <w:p w14:paraId="1F319CC1" w14:textId="77777777" w:rsidR="00F81118" w:rsidRPr="00765A5B" w:rsidRDefault="00F81118" w:rsidP="0079391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</w:pPr>
            <w:r w:rsidRPr="00765A5B">
              <w:t xml:space="preserve">Check that all </w:t>
            </w:r>
            <w:r w:rsidR="00225A5C" w:rsidRPr="00765A5B">
              <w:t>legal casework</w:t>
            </w:r>
            <w:r w:rsidRPr="00765A5B">
              <w:t xml:space="preserve"> is accurate </w:t>
            </w:r>
            <w:r w:rsidR="00D757F8" w:rsidRPr="00765A5B">
              <w:t>before an Attendance Welfare O</w:t>
            </w:r>
            <w:r w:rsidR="00225A5C" w:rsidRPr="00765A5B">
              <w:t>fficer submit</w:t>
            </w:r>
            <w:r w:rsidR="00FD181A" w:rsidRPr="00765A5B">
              <w:t>s</w:t>
            </w:r>
            <w:r w:rsidR="00225A5C" w:rsidRPr="00765A5B">
              <w:t xml:space="preserve"> it to the local authority. </w:t>
            </w:r>
          </w:p>
          <w:p w14:paraId="4D5757BA" w14:textId="77777777" w:rsidR="005C7419" w:rsidRPr="00765A5B" w:rsidRDefault="005C7419" w:rsidP="0079391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</w:pPr>
            <w:r w:rsidRPr="00765A5B">
              <w:t xml:space="preserve">Where necessary, </w:t>
            </w:r>
            <w:r w:rsidR="00A050D0" w:rsidRPr="00765A5B">
              <w:t xml:space="preserve">accompany Attendance Welfare Officers on </w:t>
            </w:r>
            <w:r w:rsidRPr="00765A5B">
              <w:t>visit</w:t>
            </w:r>
            <w:r w:rsidR="00A050D0" w:rsidRPr="00765A5B">
              <w:t>s</w:t>
            </w:r>
            <w:r w:rsidRPr="00765A5B">
              <w:t xml:space="preserve"> </w:t>
            </w:r>
            <w:r w:rsidR="00A050D0" w:rsidRPr="00765A5B">
              <w:t xml:space="preserve">to </w:t>
            </w:r>
            <w:r w:rsidRPr="00765A5B">
              <w:t>family homes to discuss attendance issues and to try and improve student attendance.</w:t>
            </w:r>
          </w:p>
          <w:p w14:paraId="2ACD5C94" w14:textId="2BE04581" w:rsidR="00A050D0" w:rsidRPr="00765A5B" w:rsidRDefault="00A050D0" w:rsidP="0079391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</w:pPr>
            <w:r w:rsidRPr="00765A5B">
              <w:t>Where necessary accompany Attendance Welfare Officers to meetings or sit in on meetings</w:t>
            </w:r>
            <w:r w:rsidR="00ED3AFE" w:rsidRPr="00765A5B">
              <w:t xml:space="preserve"> to </w:t>
            </w:r>
            <w:r w:rsidR="0079391C">
              <w:t>advis</w:t>
            </w:r>
            <w:r w:rsidR="005D32A6" w:rsidRPr="00765A5B">
              <w:t>e</w:t>
            </w:r>
            <w:r w:rsidR="00ED3AFE" w:rsidRPr="00765A5B">
              <w:t xml:space="preserve"> and support. </w:t>
            </w:r>
          </w:p>
          <w:p w14:paraId="236563B9" w14:textId="77777777" w:rsidR="00556BF5" w:rsidRPr="00765A5B" w:rsidRDefault="00BD6B9D" w:rsidP="0079391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</w:pPr>
            <w:r w:rsidRPr="00765A5B">
              <w:t>In the absence of an Attendance Welfare Officer at o</w:t>
            </w:r>
            <w:r w:rsidR="005C1744" w:rsidRPr="00765A5B">
              <w:t xml:space="preserve">ne of the academies support the academy with </w:t>
            </w:r>
            <w:r w:rsidR="00AC7BFF" w:rsidRPr="00765A5B">
              <w:t>overseeing</w:t>
            </w:r>
            <w:r w:rsidR="005C1744" w:rsidRPr="00765A5B">
              <w:t xml:space="preserve"> their attendance </w:t>
            </w:r>
            <w:r w:rsidRPr="00765A5B">
              <w:t xml:space="preserve">with home visits, meetings and monitoring of attendance to ensure attendance is maintained. </w:t>
            </w:r>
          </w:p>
          <w:p w14:paraId="03AF6E67" w14:textId="433F86E8" w:rsidR="00556BF5" w:rsidRPr="00765A5B" w:rsidRDefault="00F269BD" w:rsidP="0079391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</w:pPr>
            <w:r w:rsidRPr="00765A5B">
              <w:t>Ensure</w:t>
            </w:r>
            <w:r w:rsidR="00556BF5" w:rsidRPr="00765A5B">
              <w:t xml:space="preserve"> the attendance data is </w:t>
            </w:r>
            <w:r w:rsidR="0079391C">
              <w:t>accurate and up to date by</w:t>
            </w:r>
            <w:r w:rsidR="00556BF5" w:rsidRPr="00765A5B">
              <w:t xml:space="preserve"> checking the attendance registers for all academies. </w:t>
            </w:r>
          </w:p>
          <w:p w14:paraId="7C2B0FC0" w14:textId="77777777" w:rsidR="00502AC9" w:rsidRPr="00765A5B" w:rsidRDefault="005C7419" w:rsidP="0079391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</w:pPr>
            <w:r w:rsidRPr="00765A5B">
              <w:t xml:space="preserve">Any other </w:t>
            </w:r>
            <w:r w:rsidR="00176A49" w:rsidRPr="00765A5B">
              <w:t>duties in support of the Trust</w:t>
            </w:r>
            <w:r w:rsidRPr="00765A5B">
              <w:t xml:space="preserve"> as reasonably decided by the</w:t>
            </w:r>
            <w:r w:rsidR="00176A49" w:rsidRPr="00765A5B">
              <w:t xml:space="preserve"> </w:t>
            </w:r>
            <w:r w:rsidR="00AC7BFF" w:rsidRPr="00765A5B">
              <w:t>TGAT leadership team.</w:t>
            </w:r>
          </w:p>
          <w:p w14:paraId="1B082AA5" w14:textId="77777777" w:rsidR="00176A49" w:rsidRPr="00765A5B" w:rsidRDefault="00176A49" w:rsidP="0079391C">
            <w:pPr>
              <w:pStyle w:val="ListParagraph"/>
              <w:spacing w:after="0" w:line="240" w:lineRule="auto"/>
              <w:jc w:val="both"/>
            </w:pPr>
          </w:p>
          <w:p w14:paraId="2358B304" w14:textId="77777777" w:rsidR="00B96299" w:rsidRPr="00765A5B" w:rsidRDefault="00176A49" w:rsidP="0079391C">
            <w:pPr>
              <w:spacing w:after="0" w:line="240" w:lineRule="auto"/>
              <w:jc w:val="both"/>
              <w:rPr>
                <w:b/>
              </w:rPr>
            </w:pPr>
            <w:r w:rsidRPr="00765A5B">
              <w:rPr>
                <w:b/>
              </w:rPr>
              <w:t xml:space="preserve">Strategic Responsibilities </w:t>
            </w:r>
          </w:p>
          <w:p w14:paraId="1CD86756" w14:textId="77777777" w:rsidR="00B96299" w:rsidRPr="00765A5B" w:rsidRDefault="00B96299" w:rsidP="0079391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b/>
              </w:rPr>
            </w:pPr>
            <w:r w:rsidRPr="00765A5B">
              <w:t xml:space="preserve">To be responsible for the review and update of Tudor Grange Academies Trust Attendance Policy ensuring that users of </w:t>
            </w:r>
            <w:r w:rsidR="00B66D7F" w:rsidRPr="00765A5B">
              <w:t>the policy are aware of changes.</w:t>
            </w:r>
          </w:p>
          <w:p w14:paraId="350121A3" w14:textId="77777777" w:rsidR="00B66D7F" w:rsidRPr="00765A5B" w:rsidRDefault="00ED3AFE" w:rsidP="0079391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b/>
              </w:rPr>
            </w:pPr>
            <w:r w:rsidRPr="00765A5B">
              <w:t>To take overall responsibility</w:t>
            </w:r>
            <w:r w:rsidR="00B66D7F" w:rsidRPr="00765A5B">
              <w:t xml:space="preserve"> to review and </w:t>
            </w:r>
            <w:r w:rsidR="007824AE" w:rsidRPr="00765A5B">
              <w:t>update</w:t>
            </w:r>
            <w:r w:rsidR="00B66D7F" w:rsidRPr="00765A5B">
              <w:t xml:space="preserve"> the Attendance </w:t>
            </w:r>
            <w:r w:rsidR="008B1DE0" w:rsidRPr="00765A5B">
              <w:t>and Punctuality guidance policy.</w:t>
            </w:r>
            <w:r w:rsidR="00B66D7F" w:rsidRPr="00765A5B">
              <w:t xml:space="preserve"> </w:t>
            </w:r>
          </w:p>
          <w:p w14:paraId="07744A6D" w14:textId="191092E8" w:rsidR="008B1DE0" w:rsidRPr="00765A5B" w:rsidRDefault="0079391C" w:rsidP="0079391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b/>
              </w:rPr>
            </w:pPr>
            <w:r>
              <w:t>To be responsible for the</w:t>
            </w:r>
            <w:r w:rsidR="008B1DE0" w:rsidRPr="00765A5B">
              <w:t xml:space="preserve"> review and </w:t>
            </w:r>
            <w:r w:rsidR="007824AE" w:rsidRPr="00765A5B">
              <w:t>update</w:t>
            </w:r>
            <w:r>
              <w:t xml:space="preserve"> of</w:t>
            </w:r>
            <w:r w:rsidR="008B1DE0" w:rsidRPr="00765A5B">
              <w:t xml:space="preserve"> the Leave of Absence process.</w:t>
            </w:r>
          </w:p>
          <w:p w14:paraId="1357F3C5" w14:textId="16FD159A" w:rsidR="00B96299" w:rsidRPr="00765A5B" w:rsidRDefault="00B96299" w:rsidP="0079391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b/>
              </w:rPr>
            </w:pPr>
            <w:r w:rsidRPr="00765A5B">
              <w:t>To train and develop staff in matters of school attendance and ensure that their procedures are i</w:t>
            </w:r>
            <w:r w:rsidR="0079391C">
              <w:t>n line with current legislation.</w:t>
            </w:r>
          </w:p>
          <w:p w14:paraId="302F7A93" w14:textId="7D0013A6" w:rsidR="00B96299" w:rsidRPr="00765A5B" w:rsidRDefault="00B96299" w:rsidP="0079391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b/>
              </w:rPr>
            </w:pPr>
            <w:r w:rsidRPr="00765A5B">
              <w:t xml:space="preserve">To </w:t>
            </w:r>
            <w:r w:rsidR="00ED3AFE" w:rsidRPr="00765A5B">
              <w:t xml:space="preserve">take responsibility for </w:t>
            </w:r>
            <w:r w:rsidRPr="00765A5B">
              <w:t>ensur</w:t>
            </w:r>
            <w:r w:rsidR="00ED3AFE" w:rsidRPr="00765A5B">
              <w:t>ing</w:t>
            </w:r>
            <w:r w:rsidRPr="00765A5B">
              <w:t xml:space="preserve"> that the staff involved with attendance matters are familiar with legal processes and the impact that these may have on the children a</w:t>
            </w:r>
            <w:r w:rsidR="0079391C">
              <w:t>nd families that they work with.</w:t>
            </w:r>
          </w:p>
          <w:p w14:paraId="7F717502" w14:textId="2493496A" w:rsidR="007B6DBA" w:rsidRPr="0079391C" w:rsidRDefault="00ED3AFE" w:rsidP="0079391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b/>
              </w:rPr>
            </w:pPr>
            <w:r w:rsidRPr="00765A5B">
              <w:t>Take a lead role in l</w:t>
            </w:r>
            <w:r w:rsidR="007340DB" w:rsidRPr="00765A5B">
              <w:t>ia</w:t>
            </w:r>
            <w:r w:rsidRPr="00765A5B">
              <w:t>ising</w:t>
            </w:r>
            <w:r w:rsidR="007B6DBA" w:rsidRPr="00765A5B">
              <w:t xml:space="preserve"> with </w:t>
            </w:r>
            <w:r w:rsidR="00231E26" w:rsidRPr="00765A5B">
              <w:t xml:space="preserve">the </w:t>
            </w:r>
            <w:r w:rsidR="007B6DBA" w:rsidRPr="00765A5B">
              <w:t xml:space="preserve">Local </w:t>
            </w:r>
            <w:r w:rsidR="00231E26" w:rsidRPr="00765A5B">
              <w:t xml:space="preserve">Authorities Education Departments that the </w:t>
            </w:r>
            <w:r w:rsidR="007B6DBA" w:rsidRPr="00765A5B">
              <w:t>Trust</w:t>
            </w:r>
            <w:r w:rsidR="00231E26" w:rsidRPr="00765A5B">
              <w:t xml:space="preserve"> academies come under</w:t>
            </w:r>
            <w:r w:rsidR="007B6DBA" w:rsidRPr="00765A5B">
              <w:t xml:space="preserve"> </w:t>
            </w:r>
            <w:r w:rsidR="00231E26" w:rsidRPr="00765A5B">
              <w:t xml:space="preserve">to ensure the processes for referral are correct. </w:t>
            </w:r>
            <w:r w:rsidR="00BA2F53" w:rsidRPr="00765A5B">
              <w:t xml:space="preserve"> </w:t>
            </w:r>
          </w:p>
          <w:p w14:paraId="3EA2DABE" w14:textId="77777777" w:rsidR="007B6DBA" w:rsidRPr="00765A5B" w:rsidRDefault="007B6DBA" w:rsidP="0079391C">
            <w:pPr>
              <w:pStyle w:val="ListParagraph"/>
              <w:spacing w:after="0" w:line="240" w:lineRule="auto"/>
              <w:jc w:val="both"/>
            </w:pPr>
          </w:p>
        </w:tc>
      </w:tr>
      <w:tr w:rsidR="00E30E29" w:rsidRPr="0055172F" w14:paraId="3CE1AC82" w14:textId="77777777" w:rsidTr="00765A5B">
        <w:tc>
          <w:tcPr>
            <w:tcW w:w="3823" w:type="dxa"/>
            <w:shd w:val="clear" w:color="auto" w:fill="C5E0B3" w:themeFill="accent6" w:themeFillTint="66"/>
          </w:tcPr>
          <w:p w14:paraId="29516DCA" w14:textId="77777777" w:rsidR="00E30E29" w:rsidRPr="0055172F" w:rsidRDefault="00E30E29" w:rsidP="0079391C">
            <w:pPr>
              <w:jc w:val="both"/>
              <w:rPr>
                <w:rFonts w:cs="Arial"/>
                <w:b/>
                <w:sz w:val="28"/>
                <w:szCs w:val="28"/>
              </w:rPr>
            </w:pPr>
            <w:r w:rsidRPr="0055172F">
              <w:rPr>
                <w:rFonts w:cs="Arial"/>
                <w:b/>
                <w:sz w:val="28"/>
                <w:szCs w:val="28"/>
              </w:rPr>
              <w:lastRenderedPageBreak/>
              <w:t xml:space="preserve">Line Manager: </w:t>
            </w:r>
          </w:p>
        </w:tc>
        <w:tc>
          <w:tcPr>
            <w:tcW w:w="5670" w:type="dxa"/>
            <w:gridSpan w:val="2"/>
          </w:tcPr>
          <w:p w14:paraId="33ED97B4" w14:textId="77777777" w:rsidR="00E30E29" w:rsidRPr="0055172F" w:rsidRDefault="00765A5B" w:rsidP="0079391C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TBC</w:t>
            </w:r>
          </w:p>
        </w:tc>
      </w:tr>
    </w:tbl>
    <w:p w14:paraId="38A3C215" w14:textId="77777777" w:rsidR="0055172F" w:rsidRPr="0055172F" w:rsidRDefault="0055172F" w:rsidP="0079391C">
      <w:pPr>
        <w:jc w:val="both"/>
        <w:rPr>
          <w:sz w:val="28"/>
          <w:szCs w:val="28"/>
        </w:rPr>
      </w:pPr>
    </w:p>
    <w:sectPr w:rsidR="0055172F" w:rsidRPr="0055172F" w:rsidSect="00765A5B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06A8E" w14:textId="77777777" w:rsidR="00154C7C" w:rsidRDefault="00154C7C" w:rsidP="003E6779">
      <w:pPr>
        <w:spacing w:after="0" w:line="240" w:lineRule="auto"/>
      </w:pPr>
      <w:r>
        <w:separator/>
      </w:r>
    </w:p>
  </w:endnote>
  <w:endnote w:type="continuationSeparator" w:id="0">
    <w:p w14:paraId="2338A8EF" w14:textId="77777777" w:rsidR="00154C7C" w:rsidRDefault="00154C7C" w:rsidP="003E6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3E46B" w14:textId="77777777" w:rsidR="00154C7C" w:rsidRDefault="00154C7C" w:rsidP="003E6779">
      <w:pPr>
        <w:spacing w:after="0" w:line="240" w:lineRule="auto"/>
      </w:pPr>
      <w:r>
        <w:separator/>
      </w:r>
    </w:p>
  </w:footnote>
  <w:footnote w:type="continuationSeparator" w:id="0">
    <w:p w14:paraId="3895030A" w14:textId="77777777" w:rsidR="00154C7C" w:rsidRDefault="00154C7C" w:rsidP="003E6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85D45"/>
    <w:multiLevelType w:val="hybridMultilevel"/>
    <w:tmpl w:val="B324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66368"/>
    <w:multiLevelType w:val="multilevel"/>
    <w:tmpl w:val="B5F2A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12811"/>
    <w:multiLevelType w:val="hybridMultilevel"/>
    <w:tmpl w:val="88E66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A725E"/>
    <w:multiLevelType w:val="hybridMultilevel"/>
    <w:tmpl w:val="A75E3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F64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8D35EAD"/>
    <w:multiLevelType w:val="hybridMultilevel"/>
    <w:tmpl w:val="C2769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C1DE8"/>
    <w:multiLevelType w:val="hybridMultilevel"/>
    <w:tmpl w:val="070A4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E4453"/>
    <w:multiLevelType w:val="hybridMultilevel"/>
    <w:tmpl w:val="388A74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B4680E"/>
    <w:multiLevelType w:val="hybridMultilevel"/>
    <w:tmpl w:val="5C5A6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93E76"/>
    <w:multiLevelType w:val="hybridMultilevel"/>
    <w:tmpl w:val="69E2A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F34C7"/>
    <w:multiLevelType w:val="hybridMultilevel"/>
    <w:tmpl w:val="13DA1A84"/>
    <w:lvl w:ilvl="0" w:tplc="6BD09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42B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86F7196"/>
    <w:multiLevelType w:val="hybridMultilevel"/>
    <w:tmpl w:val="C28AD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C2259"/>
    <w:multiLevelType w:val="multilevel"/>
    <w:tmpl w:val="BA26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71134C"/>
    <w:multiLevelType w:val="hybridMultilevel"/>
    <w:tmpl w:val="FB84AFA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8C3732"/>
    <w:multiLevelType w:val="hybridMultilevel"/>
    <w:tmpl w:val="6B90E65C"/>
    <w:lvl w:ilvl="0" w:tplc="0E681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2210DF"/>
    <w:multiLevelType w:val="multilevel"/>
    <w:tmpl w:val="D4D81B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B3D1F92"/>
    <w:multiLevelType w:val="hybridMultilevel"/>
    <w:tmpl w:val="967CA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4"/>
  </w:num>
  <w:num w:numId="5">
    <w:abstractNumId w:val="0"/>
  </w:num>
  <w:num w:numId="6">
    <w:abstractNumId w:val="9"/>
  </w:num>
  <w:num w:numId="7">
    <w:abstractNumId w:val="12"/>
  </w:num>
  <w:num w:numId="8">
    <w:abstractNumId w:val="5"/>
  </w:num>
  <w:num w:numId="9">
    <w:abstractNumId w:val="3"/>
  </w:num>
  <w:num w:numId="10">
    <w:abstractNumId w:val="14"/>
  </w:num>
  <w:num w:numId="11">
    <w:abstractNumId w:val="17"/>
  </w:num>
  <w:num w:numId="12">
    <w:abstractNumId w:val="2"/>
  </w:num>
  <w:num w:numId="13">
    <w:abstractNumId w:val="8"/>
  </w:num>
  <w:num w:numId="14">
    <w:abstractNumId w:val="6"/>
  </w:num>
  <w:num w:numId="15">
    <w:abstractNumId w:val="1"/>
  </w:num>
  <w:num w:numId="16">
    <w:abstractNumId w:val="13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E29"/>
    <w:rsid w:val="00012F40"/>
    <w:rsid w:val="00154C7C"/>
    <w:rsid w:val="00176A49"/>
    <w:rsid w:val="001B3AF4"/>
    <w:rsid w:val="001D01F8"/>
    <w:rsid w:val="001F759F"/>
    <w:rsid w:val="00210066"/>
    <w:rsid w:val="00225A5C"/>
    <w:rsid w:val="00231E26"/>
    <w:rsid w:val="002B1D63"/>
    <w:rsid w:val="002C0854"/>
    <w:rsid w:val="0031514F"/>
    <w:rsid w:val="00373DC8"/>
    <w:rsid w:val="00374EAC"/>
    <w:rsid w:val="003E6779"/>
    <w:rsid w:val="004124FC"/>
    <w:rsid w:val="004D2690"/>
    <w:rsid w:val="004E4309"/>
    <w:rsid w:val="00502AC9"/>
    <w:rsid w:val="0055172F"/>
    <w:rsid w:val="00556BF5"/>
    <w:rsid w:val="005907AC"/>
    <w:rsid w:val="005A0A78"/>
    <w:rsid w:val="005C1744"/>
    <w:rsid w:val="005C7419"/>
    <w:rsid w:val="005D32A6"/>
    <w:rsid w:val="00621C59"/>
    <w:rsid w:val="00627297"/>
    <w:rsid w:val="00636396"/>
    <w:rsid w:val="00687117"/>
    <w:rsid w:val="006A3835"/>
    <w:rsid w:val="006D210B"/>
    <w:rsid w:val="006E515C"/>
    <w:rsid w:val="007002A7"/>
    <w:rsid w:val="007340DB"/>
    <w:rsid w:val="00765A5B"/>
    <w:rsid w:val="007824AE"/>
    <w:rsid w:val="0079391C"/>
    <w:rsid w:val="0079675E"/>
    <w:rsid w:val="007B3A43"/>
    <w:rsid w:val="007B6DBA"/>
    <w:rsid w:val="007C7294"/>
    <w:rsid w:val="007F1C98"/>
    <w:rsid w:val="00872088"/>
    <w:rsid w:val="00876070"/>
    <w:rsid w:val="008B1DE0"/>
    <w:rsid w:val="008E225F"/>
    <w:rsid w:val="008F3191"/>
    <w:rsid w:val="009226CE"/>
    <w:rsid w:val="00A050D0"/>
    <w:rsid w:val="00A24E41"/>
    <w:rsid w:val="00A33097"/>
    <w:rsid w:val="00A345BA"/>
    <w:rsid w:val="00AC4F61"/>
    <w:rsid w:val="00AC7BFF"/>
    <w:rsid w:val="00B35BD7"/>
    <w:rsid w:val="00B66D7F"/>
    <w:rsid w:val="00B96299"/>
    <w:rsid w:val="00BA2F53"/>
    <w:rsid w:val="00BD6B9D"/>
    <w:rsid w:val="00BF4D6F"/>
    <w:rsid w:val="00D757F8"/>
    <w:rsid w:val="00D91BEE"/>
    <w:rsid w:val="00D9687F"/>
    <w:rsid w:val="00E30E29"/>
    <w:rsid w:val="00E41219"/>
    <w:rsid w:val="00E474FB"/>
    <w:rsid w:val="00E47662"/>
    <w:rsid w:val="00E7794D"/>
    <w:rsid w:val="00E82711"/>
    <w:rsid w:val="00ED3AFE"/>
    <w:rsid w:val="00F15458"/>
    <w:rsid w:val="00F269BD"/>
    <w:rsid w:val="00F56A2F"/>
    <w:rsid w:val="00F70EEF"/>
    <w:rsid w:val="00F81118"/>
    <w:rsid w:val="00F845D4"/>
    <w:rsid w:val="00F978DD"/>
    <w:rsid w:val="00FC5BC4"/>
    <w:rsid w:val="00FD181A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F06761"/>
  <w15:docId w15:val="{0A57169A-6E12-534A-A959-27988F0D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0E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E30E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6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779"/>
  </w:style>
  <w:style w:type="paragraph" w:styleId="Footer">
    <w:name w:val="footer"/>
    <w:basedOn w:val="Normal"/>
    <w:link w:val="FooterChar"/>
    <w:uiPriority w:val="99"/>
    <w:unhideWhenUsed/>
    <w:rsid w:val="003E6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779"/>
  </w:style>
  <w:style w:type="paragraph" w:styleId="BalloonText">
    <w:name w:val="Balloon Text"/>
    <w:basedOn w:val="Normal"/>
    <w:link w:val="BalloonTextChar"/>
    <w:uiPriority w:val="99"/>
    <w:semiHidden/>
    <w:unhideWhenUsed/>
    <w:rsid w:val="00E47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66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24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939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4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0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5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5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3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9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E4C7DFF1B15340A096CB1934C141B1" ma:contentTypeVersion="12" ma:contentTypeDescription="Create a new document." ma:contentTypeScope="" ma:versionID="fe6bf1259b5120f6c4c42d6b372b5967">
  <xsd:schema xmlns:xsd="http://www.w3.org/2001/XMLSchema" xmlns:xs="http://www.w3.org/2001/XMLSchema" xmlns:p="http://schemas.microsoft.com/office/2006/metadata/properties" xmlns:ns3="b182c94e-60bb-4c5c-a18b-c9c06c6b57e7" xmlns:ns4="ab9ac7a8-60b4-442e-be28-001fca4ac3e2" targetNamespace="http://schemas.microsoft.com/office/2006/metadata/properties" ma:root="true" ma:fieldsID="189d04b8dd0b35460a97c5a5e472231b" ns3:_="" ns4:_="">
    <xsd:import namespace="b182c94e-60bb-4c5c-a18b-c9c06c6b57e7"/>
    <xsd:import namespace="ab9ac7a8-60b4-442e-be28-001fca4ac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2c94e-60bb-4c5c-a18b-c9c06c6b57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ac7a8-60b4-442e-be28-001fca4ac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96C8A1-564B-4722-81A8-44F6AEB40822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ab9ac7a8-60b4-442e-be28-001fca4ac3e2"/>
    <ds:schemaRef ds:uri="b182c94e-60bb-4c5c-a18b-c9c06c6b57e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A4D9BD6-4DA9-449C-BAA5-86137AC35C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1104CA-4C03-4B36-BF94-73CFA9163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82c94e-60bb-4c5c-a18b-c9c06c6b57e7"/>
    <ds:schemaRef ds:uri="ab9ac7a8-60b4-442e-be28-001fca4ac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18CB88F2</Template>
  <TotalTime>0</TotalTime>
  <Pages>2</Pages>
  <Words>734</Words>
  <Characters>4185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Tudor Grange Academy Trust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Groutage</dc:creator>
  <cp:keywords/>
  <dc:description/>
  <cp:lastModifiedBy>Melanie Fletcher-Warrington</cp:lastModifiedBy>
  <cp:revision>2</cp:revision>
  <cp:lastPrinted>2019-12-16T10:14:00Z</cp:lastPrinted>
  <dcterms:created xsi:type="dcterms:W3CDTF">2019-12-20T11:41:00Z</dcterms:created>
  <dcterms:modified xsi:type="dcterms:W3CDTF">2019-12-20T11:41:00Z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0x010100BAE4C7DFF1B15340A096CB1934C141B1</vt:lpwstr>
  </property>
</Properties>
</file>