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2" w:type="pct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3161"/>
        <w:gridCol w:w="332"/>
        <w:gridCol w:w="1666"/>
        <w:gridCol w:w="3165"/>
      </w:tblGrid>
      <w:tr w:rsidR="00C82700" w:rsidRPr="004F1C77" w:rsidTr="00C70C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thinThickMediumGap" w:sz="24" w:space="0" w:color="0099CC"/>
              <w:right w:val="nil"/>
            </w:tcBorders>
          </w:tcPr>
          <w:p w:rsidR="00C82700" w:rsidRPr="004F1C77" w:rsidRDefault="00C82700" w:rsidP="00C70C3B">
            <w:pPr>
              <w:pStyle w:val="BodyText"/>
              <w:jc w:val="center"/>
              <w:rPr>
                <w:rFonts w:ascii="Arial" w:hAnsi="Arial" w:cs="Arial"/>
                <w:b/>
                <w:color w:val="006699"/>
                <w:sz w:val="28"/>
                <w:szCs w:val="28"/>
              </w:rPr>
            </w:pPr>
            <w:r w:rsidRPr="004F1C77">
              <w:rPr>
                <w:rFonts w:ascii="Arial" w:hAnsi="Arial" w:cs="Arial"/>
                <w:b/>
                <w:color w:val="006699"/>
                <w:sz w:val="28"/>
                <w:szCs w:val="28"/>
              </w:rPr>
              <w:t>Job Description</w:t>
            </w:r>
          </w:p>
        </w:tc>
      </w:tr>
      <w:tr w:rsidR="00C82700" w:rsidTr="00C70C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3" w:type="pct"/>
            <w:tcBorders>
              <w:top w:val="thinThickMediumGap" w:sz="24" w:space="0" w:color="0099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00" w:rsidRPr="004F1C77" w:rsidRDefault="00C82700" w:rsidP="00C70C3B">
            <w:pPr>
              <w:rPr>
                <w:rFonts w:ascii="Arial" w:hAnsi="Arial" w:cs="Arial"/>
                <w:b/>
                <w:color w:val="006699"/>
                <w:sz w:val="24"/>
              </w:rPr>
            </w:pPr>
            <w:r>
              <w:rPr>
                <w:rFonts w:ascii="Arial" w:hAnsi="Arial" w:cs="Arial"/>
                <w:b/>
                <w:color w:val="006699"/>
                <w:sz w:val="24"/>
              </w:rPr>
              <w:t>Job Title:</w:t>
            </w:r>
          </w:p>
        </w:tc>
        <w:tc>
          <w:tcPr>
            <w:tcW w:w="1609" w:type="pct"/>
            <w:tcBorders>
              <w:top w:val="thinThickMediumGap" w:sz="24" w:space="0" w:color="0099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D4" w:rsidRDefault="001B2AD4" w:rsidP="001B2AD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School Admissions /SIMS Data Administrator</w:t>
            </w:r>
          </w:p>
          <w:p w:rsidR="001B2AD4" w:rsidRPr="00353960" w:rsidRDefault="001B2AD4" w:rsidP="001B2AD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– Grade 5</w:t>
            </w:r>
          </w:p>
          <w:p w:rsidR="00C82700" w:rsidRPr="00BB5AFC" w:rsidRDefault="00C82700" w:rsidP="00C70C3B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69" w:type="pct"/>
            <w:tcBorders>
              <w:top w:val="thinThickMediumGap" w:sz="24" w:space="0" w:color="0099CC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2700" w:rsidRDefault="00C82700" w:rsidP="00C70C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8" w:type="pct"/>
            <w:tcBorders>
              <w:top w:val="thinThickMediumGap" w:sz="24" w:space="0" w:color="0099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00" w:rsidRPr="00CD736C" w:rsidRDefault="00C82700" w:rsidP="00C70C3B">
            <w:pPr>
              <w:rPr>
                <w:rFonts w:ascii="Arial" w:hAnsi="Arial" w:cs="Arial"/>
                <w:b/>
                <w:color w:val="006699"/>
                <w:sz w:val="24"/>
              </w:rPr>
            </w:pPr>
            <w:r w:rsidRPr="004F1C77">
              <w:rPr>
                <w:rFonts w:ascii="Arial" w:hAnsi="Arial" w:cs="Arial"/>
                <w:b/>
                <w:color w:val="006699"/>
                <w:sz w:val="24"/>
              </w:rPr>
              <w:t>School Name:</w:t>
            </w:r>
          </w:p>
        </w:tc>
        <w:tc>
          <w:tcPr>
            <w:tcW w:w="1611" w:type="pct"/>
            <w:tcBorders>
              <w:top w:val="thinThickMediumGap" w:sz="24" w:space="0" w:color="0099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00" w:rsidRPr="00BB5AFC" w:rsidRDefault="00C82700" w:rsidP="00C70C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Peter Hills with St Mary’s &amp; St Paul’s CE Primary School</w:t>
            </w:r>
          </w:p>
        </w:tc>
      </w:tr>
      <w:tr w:rsidR="00C82700" w:rsidTr="00C70C3B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00" w:rsidRPr="004F1C77" w:rsidRDefault="00C82700" w:rsidP="00C70C3B">
            <w:pPr>
              <w:rPr>
                <w:rFonts w:ascii="Arial" w:hAnsi="Arial" w:cs="Arial"/>
                <w:b/>
                <w:color w:val="006699"/>
                <w:sz w:val="24"/>
              </w:rPr>
            </w:pPr>
            <w:r w:rsidRPr="004F1C77">
              <w:rPr>
                <w:rFonts w:ascii="Arial" w:hAnsi="Arial" w:cs="Arial"/>
                <w:b/>
                <w:color w:val="006699"/>
                <w:sz w:val="24"/>
              </w:rPr>
              <w:t>Grade</w:t>
            </w:r>
            <w:r>
              <w:rPr>
                <w:rFonts w:ascii="Arial" w:hAnsi="Arial" w:cs="Arial"/>
                <w:b/>
                <w:color w:val="006699"/>
                <w:sz w:val="24"/>
              </w:rPr>
              <w:t xml:space="preserve"> and</w:t>
            </w:r>
            <w:r w:rsidRPr="004F1C77">
              <w:rPr>
                <w:rFonts w:ascii="Arial" w:hAnsi="Arial" w:cs="Arial"/>
                <w:b/>
                <w:color w:val="006699"/>
                <w:sz w:val="24"/>
              </w:rPr>
              <w:t xml:space="preserve"> Range:</w:t>
            </w:r>
          </w:p>
          <w:p w:rsidR="00C82700" w:rsidRPr="004F1C77" w:rsidRDefault="00C82700" w:rsidP="00C70C3B">
            <w:pPr>
              <w:rPr>
                <w:rFonts w:ascii="Arial" w:hAnsi="Arial" w:cs="Arial"/>
                <w:b/>
                <w:color w:val="006699"/>
                <w:sz w:val="24"/>
              </w:rPr>
            </w:pPr>
          </w:p>
        </w:tc>
        <w:tc>
          <w:tcPr>
            <w:tcW w:w="1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00" w:rsidRPr="00BB5AFC" w:rsidRDefault="00C82700" w:rsidP="00C70C3B">
            <w:pPr>
              <w:rPr>
                <w:rFonts w:ascii="Arial" w:hAnsi="Arial" w:cs="Arial"/>
                <w:bCs/>
                <w:highlight w:val="lightGray"/>
              </w:rPr>
            </w:pPr>
            <w:r>
              <w:rPr>
                <w:rFonts w:ascii="Arial" w:hAnsi="Arial" w:cs="Arial"/>
                <w:bCs/>
              </w:rPr>
              <w:t xml:space="preserve">Grade 5 </w:t>
            </w:r>
            <w:proofErr w:type="spellStart"/>
            <w:r>
              <w:rPr>
                <w:rFonts w:ascii="Arial" w:hAnsi="Arial" w:cs="Arial"/>
                <w:bCs/>
              </w:rPr>
              <w:t>Scp</w:t>
            </w:r>
            <w:proofErr w:type="spellEnd"/>
            <w:r>
              <w:rPr>
                <w:rFonts w:ascii="Arial" w:hAnsi="Arial" w:cs="Arial"/>
                <w:bCs/>
              </w:rPr>
              <w:t xml:space="preserve">  16 - 23</w:t>
            </w:r>
          </w:p>
          <w:p w:rsidR="00C82700" w:rsidRPr="00BB5AFC" w:rsidRDefault="00C82700" w:rsidP="00C70C3B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700" w:rsidRPr="008B7D15" w:rsidRDefault="00C82700" w:rsidP="00C70C3B">
            <w:pPr>
              <w:pStyle w:val="Head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00" w:rsidRPr="004F1C77" w:rsidRDefault="00C82700" w:rsidP="00C70C3B">
            <w:pPr>
              <w:rPr>
                <w:rFonts w:ascii="Arial" w:hAnsi="Arial" w:cs="Arial"/>
                <w:b/>
                <w:color w:val="006699"/>
                <w:sz w:val="24"/>
              </w:rPr>
            </w:pPr>
            <w:r w:rsidRPr="004F1C77">
              <w:rPr>
                <w:rFonts w:ascii="Arial" w:hAnsi="Arial" w:cs="Arial"/>
                <w:b/>
                <w:color w:val="006699"/>
                <w:sz w:val="24"/>
              </w:rPr>
              <w:t>Hours:</w:t>
            </w:r>
          </w:p>
          <w:p w:rsidR="00C82700" w:rsidRPr="00CD736C" w:rsidRDefault="00C82700" w:rsidP="00C70C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00" w:rsidRPr="009E7472" w:rsidRDefault="00C82700" w:rsidP="00C70C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16 hours</w:t>
            </w:r>
          </w:p>
        </w:tc>
      </w:tr>
      <w:tr w:rsidR="00C82700" w:rsidTr="00C70C3B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00" w:rsidRPr="004F1C77" w:rsidRDefault="00C82700" w:rsidP="00C70C3B">
            <w:pPr>
              <w:rPr>
                <w:rFonts w:ascii="Arial" w:hAnsi="Arial" w:cs="Arial"/>
                <w:b/>
                <w:color w:val="006699"/>
                <w:sz w:val="24"/>
              </w:rPr>
            </w:pPr>
          </w:p>
        </w:tc>
        <w:tc>
          <w:tcPr>
            <w:tcW w:w="1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00" w:rsidRPr="00BB5AFC" w:rsidRDefault="00C82700" w:rsidP="00C70C3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2700" w:rsidRPr="008B7D15" w:rsidRDefault="00C82700" w:rsidP="00C70C3B">
            <w:pPr>
              <w:pStyle w:val="Head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00" w:rsidRPr="004F1C77" w:rsidRDefault="00C82700" w:rsidP="00C70C3B">
            <w:pPr>
              <w:rPr>
                <w:rFonts w:ascii="Arial" w:hAnsi="Arial" w:cs="Arial"/>
                <w:b/>
                <w:color w:val="006699"/>
                <w:sz w:val="24"/>
              </w:rPr>
            </w:pPr>
            <w:r>
              <w:rPr>
                <w:rFonts w:ascii="Arial" w:hAnsi="Arial" w:cs="Arial"/>
                <w:b/>
                <w:color w:val="006699"/>
                <w:sz w:val="24"/>
              </w:rPr>
              <w:t>Working Pattern: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00" w:rsidRPr="00BB5AFC" w:rsidRDefault="00C82700" w:rsidP="00C70C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Term Time only</w:t>
            </w:r>
          </w:p>
        </w:tc>
      </w:tr>
      <w:tr w:rsidR="00C82700" w:rsidTr="00C70C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00" w:rsidRPr="004F1C77" w:rsidRDefault="00C82700" w:rsidP="00C70C3B">
            <w:pPr>
              <w:rPr>
                <w:rFonts w:ascii="Arial" w:hAnsi="Arial" w:cs="Arial"/>
                <w:b/>
                <w:color w:val="006699"/>
                <w:sz w:val="24"/>
              </w:rPr>
            </w:pPr>
            <w:r w:rsidRPr="004F1C77">
              <w:rPr>
                <w:rFonts w:ascii="Arial" w:hAnsi="Arial" w:cs="Arial"/>
                <w:b/>
                <w:color w:val="006699"/>
                <w:sz w:val="24"/>
              </w:rPr>
              <w:t>Reports to:</w:t>
            </w:r>
          </w:p>
          <w:p w:rsidR="00C82700" w:rsidRPr="004F1C77" w:rsidRDefault="00C82700" w:rsidP="00C70C3B">
            <w:pPr>
              <w:rPr>
                <w:rFonts w:ascii="Arial" w:hAnsi="Arial" w:cs="Arial"/>
                <w:b/>
                <w:color w:val="006699"/>
                <w:sz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00" w:rsidRPr="00BB5AFC" w:rsidRDefault="00C82700" w:rsidP="00C70C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SBM / </w:t>
            </w:r>
            <w:proofErr w:type="spellStart"/>
            <w:r>
              <w:rPr>
                <w:rFonts w:ascii="Arial" w:hAnsi="Arial" w:cs="Arial"/>
                <w:bCs/>
              </w:rPr>
              <w:t>Headteacher</w:t>
            </w:r>
            <w:proofErr w:type="spellEnd"/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2700" w:rsidRDefault="00C82700" w:rsidP="00C70C3B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00" w:rsidRPr="00CD736C" w:rsidRDefault="00C82700" w:rsidP="00C70C3B">
            <w:pPr>
              <w:rPr>
                <w:rFonts w:ascii="Arial" w:hAnsi="Arial" w:cs="Arial"/>
                <w:b/>
                <w:color w:val="006699"/>
                <w:sz w:val="24"/>
              </w:rPr>
            </w:pPr>
            <w:r>
              <w:rPr>
                <w:rFonts w:ascii="Arial" w:hAnsi="Arial" w:cs="Arial"/>
                <w:b/>
                <w:color w:val="006699"/>
                <w:sz w:val="24"/>
              </w:rPr>
              <w:t>Supervises</w:t>
            </w:r>
            <w:r w:rsidRPr="00CD736C">
              <w:rPr>
                <w:rFonts w:ascii="Arial" w:hAnsi="Arial" w:cs="Arial"/>
                <w:b/>
                <w:color w:val="006699"/>
                <w:sz w:val="24"/>
              </w:rPr>
              <w:t>: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00" w:rsidRPr="00BB5AFC" w:rsidRDefault="00C82700" w:rsidP="00C70C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C82700" w:rsidTr="00C70C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700" w:rsidRPr="004F1C77" w:rsidRDefault="00C82700" w:rsidP="00C70C3B">
            <w:pPr>
              <w:rPr>
                <w:rFonts w:ascii="Arial" w:hAnsi="Arial" w:cs="Arial"/>
                <w:b/>
                <w:color w:val="006699"/>
                <w:sz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700" w:rsidRDefault="00C82700" w:rsidP="00C70C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700" w:rsidRDefault="00C82700" w:rsidP="00C70C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700" w:rsidRDefault="00C82700" w:rsidP="00C70C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700" w:rsidRDefault="00C82700" w:rsidP="00C70C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C82700" w:rsidTr="00C70C3B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00" w:rsidRPr="004F1C77" w:rsidRDefault="00C82700" w:rsidP="00C70C3B">
            <w:pPr>
              <w:rPr>
                <w:rFonts w:ascii="Arial" w:hAnsi="Arial" w:cs="Arial"/>
                <w:b/>
                <w:color w:val="006699"/>
                <w:sz w:val="24"/>
              </w:rPr>
            </w:pPr>
            <w:r w:rsidRPr="004F1C77">
              <w:rPr>
                <w:rFonts w:ascii="Arial" w:hAnsi="Arial" w:cs="Arial"/>
                <w:b/>
                <w:color w:val="006699"/>
                <w:sz w:val="24"/>
              </w:rPr>
              <w:t>Purpose:</w:t>
            </w:r>
          </w:p>
        </w:tc>
        <w:tc>
          <w:tcPr>
            <w:tcW w:w="4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00" w:rsidRDefault="00C82700" w:rsidP="00C70C3B">
            <w:pPr>
              <w:pStyle w:val="Default"/>
              <w:rPr>
                <w:sz w:val="22"/>
                <w:szCs w:val="22"/>
              </w:rPr>
            </w:pPr>
            <w:r w:rsidRPr="00AD7123">
              <w:rPr>
                <w:color w:val="323232"/>
                <w:sz w:val="22"/>
                <w:szCs w:val="22"/>
              </w:rPr>
              <w:t xml:space="preserve">To be responsible for </w:t>
            </w:r>
            <w:r>
              <w:rPr>
                <w:color w:val="323232"/>
                <w:sz w:val="22"/>
                <w:szCs w:val="22"/>
              </w:rPr>
              <w:t>the a</w:t>
            </w:r>
            <w:r w:rsidRPr="00AD7123">
              <w:rPr>
                <w:color w:val="323232"/>
                <w:sz w:val="22"/>
                <w:szCs w:val="22"/>
              </w:rPr>
              <w:t>dministrative and org</w:t>
            </w:r>
            <w:r>
              <w:rPr>
                <w:color w:val="323232"/>
                <w:sz w:val="22"/>
                <w:szCs w:val="22"/>
              </w:rPr>
              <w:t>anisation processes within the A</w:t>
            </w:r>
            <w:r w:rsidRPr="00AD7123">
              <w:rPr>
                <w:color w:val="323232"/>
                <w:sz w:val="22"/>
                <w:szCs w:val="22"/>
              </w:rPr>
              <w:t>dmissions procedures and related areas</w:t>
            </w:r>
            <w:r>
              <w:rPr>
                <w:color w:val="323232"/>
                <w:sz w:val="22"/>
                <w:szCs w:val="22"/>
              </w:rPr>
              <w:t xml:space="preserve"> using SIMS</w:t>
            </w:r>
            <w:r w:rsidRPr="00AD7123">
              <w:rPr>
                <w:color w:val="323232"/>
                <w:sz w:val="22"/>
                <w:szCs w:val="22"/>
              </w:rPr>
              <w:t xml:space="preserve">. In addition, to be part of the administration team providing high quality and efficient administrative service. </w:t>
            </w:r>
            <w:r w:rsidRPr="0078547A">
              <w:rPr>
                <w:color w:val="323232"/>
                <w:sz w:val="22"/>
                <w:szCs w:val="22"/>
              </w:rPr>
              <w:t xml:space="preserve">As part of your duties, you </w:t>
            </w:r>
            <w:r w:rsidRPr="00F80203">
              <w:rPr>
                <w:sz w:val="22"/>
                <w:szCs w:val="22"/>
              </w:rPr>
              <w:t>are expected to work in conjunction with the line manager</w:t>
            </w:r>
            <w:r>
              <w:rPr>
                <w:sz w:val="22"/>
                <w:szCs w:val="22"/>
              </w:rPr>
              <w:t xml:space="preserve">. </w:t>
            </w:r>
          </w:p>
          <w:p w:rsidR="00C82700" w:rsidRDefault="00C82700" w:rsidP="00C70C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To be responsible for the Admissions process using SIMS. </w:t>
            </w:r>
          </w:p>
          <w:p w:rsidR="00C82700" w:rsidRDefault="00C82700" w:rsidP="00C70C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To assist in the maintenance of the SIMS database for pupil and staff information. </w:t>
            </w:r>
          </w:p>
          <w:p w:rsidR="00C82700" w:rsidRDefault="00C82700" w:rsidP="00C70C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To provide administrative support to the school as appropriate. </w:t>
            </w:r>
          </w:p>
          <w:p w:rsidR="00C82700" w:rsidRPr="00BB5AFC" w:rsidRDefault="00C82700" w:rsidP="00C70C3B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color w:val="323232"/>
                <w:sz w:val="22"/>
                <w:szCs w:val="22"/>
              </w:rPr>
              <w:t>Cover</w:t>
            </w:r>
            <w:r w:rsidRPr="00AD7123">
              <w:rPr>
                <w:color w:val="323232"/>
                <w:sz w:val="22"/>
                <w:szCs w:val="22"/>
              </w:rPr>
              <w:t xml:space="preserve"> </w:t>
            </w:r>
            <w:r>
              <w:rPr>
                <w:color w:val="323232"/>
                <w:sz w:val="22"/>
                <w:szCs w:val="22"/>
              </w:rPr>
              <w:t>R</w:t>
            </w:r>
            <w:r w:rsidRPr="00AD7123">
              <w:rPr>
                <w:color w:val="323232"/>
                <w:sz w:val="22"/>
                <w:szCs w:val="22"/>
              </w:rPr>
              <w:t>eception as and when required</w:t>
            </w:r>
          </w:p>
        </w:tc>
      </w:tr>
    </w:tbl>
    <w:p w:rsidR="00C82700" w:rsidRPr="00C82700" w:rsidRDefault="00C82700" w:rsidP="00C82700">
      <w:pPr>
        <w:rPr>
          <w:rFonts w:ascii="Arial" w:hAnsi="Arial" w:cs="Arial"/>
          <w:b/>
          <w:color w:val="006699"/>
          <w:sz w:val="24"/>
        </w:rPr>
      </w:pPr>
    </w:p>
    <w:p w:rsidR="00C82700" w:rsidRPr="00C82700" w:rsidRDefault="00C82700" w:rsidP="00C82700">
      <w:pPr>
        <w:rPr>
          <w:rFonts w:ascii="Arial" w:hAnsi="Arial" w:cs="Arial"/>
          <w:b/>
          <w:color w:val="006699"/>
          <w:sz w:val="24"/>
        </w:rPr>
      </w:pPr>
      <w:r w:rsidRPr="00C82700">
        <w:rPr>
          <w:rFonts w:ascii="Arial" w:hAnsi="Arial" w:cs="Arial"/>
          <w:b/>
          <w:color w:val="006699"/>
          <w:sz w:val="24"/>
        </w:rPr>
        <w:t>Principal Accountabilities:</w:t>
      </w:r>
    </w:p>
    <w:p w:rsidR="00C82700" w:rsidRPr="00C82700" w:rsidRDefault="00C82700" w:rsidP="00C82700">
      <w:pPr>
        <w:shd w:val="clear" w:color="auto" w:fill="FFFFFF"/>
        <w:spacing w:after="192" w:line="240" w:lineRule="auto"/>
        <w:rPr>
          <w:rFonts w:ascii="inherit" w:eastAsia="Times New Roman" w:hAnsi="inherit" w:cs="Times New Roman"/>
          <w:b/>
          <w:color w:val="323232"/>
          <w:sz w:val="23"/>
          <w:szCs w:val="23"/>
          <w:lang w:eastAsia="en-GB"/>
        </w:rPr>
      </w:pPr>
      <w:r>
        <w:rPr>
          <w:rFonts w:ascii="inherit" w:eastAsia="Times New Roman" w:hAnsi="inherit" w:cs="Times New Roman"/>
          <w:b/>
          <w:color w:val="323232"/>
          <w:sz w:val="23"/>
          <w:szCs w:val="23"/>
          <w:lang w:eastAsia="en-GB"/>
        </w:rPr>
        <w:t xml:space="preserve">1. </w:t>
      </w:r>
      <w:r w:rsidRPr="00C82700">
        <w:rPr>
          <w:rFonts w:ascii="inherit" w:eastAsia="Times New Roman" w:hAnsi="inherit" w:cs="Times New Roman"/>
          <w:b/>
          <w:color w:val="323232"/>
          <w:sz w:val="23"/>
          <w:szCs w:val="23"/>
          <w:lang w:eastAsia="en-GB"/>
        </w:rPr>
        <w:t xml:space="preserve">Responsibility for the Admissions Process using SIMS databases including: </w:t>
      </w:r>
    </w:p>
    <w:p w:rsidR="00C82700" w:rsidRPr="00C82700" w:rsidRDefault="00C82700" w:rsidP="00C8270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C82700">
        <w:rPr>
          <w:sz w:val="22"/>
          <w:szCs w:val="22"/>
        </w:rPr>
        <w:t>Knowledge and experience of using SIMS</w:t>
      </w:r>
    </w:p>
    <w:p w:rsidR="00C82700" w:rsidRPr="00C82700" w:rsidRDefault="00C82700" w:rsidP="00C8270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C82700">
        <w:rPr>
          <w:sz w:val="22"/>
          <w:szCs w:val="22"/>
        </w:rPr>
        <w:t>Deal with queries relating to all aspects of the admissions process by correspondence, telephone or in person</w:t>
      </w:r>
    </w:p>
    <w:p w:rsidR="00C82700" w:rsidRPr="00C82700" w:rsidRDefault="00C82700" w:rsidP="00C8270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C82700">
        <w:rPr>
          <w:sz w:val="22"/>
          <w:szCs w:val="22"/>
        </w:rPr>
        <w:t>Contribute to the development and procedures relating to admissions</w:t>
      </w:r>
    </w:p>
    <w:p w:rsidR="00C82700" w:rsidRPr="00C82700" w:rsidRDefault="00C82700" w:rsidP="00C8270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C82700">
        <w:rPr>
          <w:sz w:val="22"/>
          <w:szCs w:val="22"/>
        </w:rPr>
        <w:t>Reviewing in year applications and waiting lists</w:t>
      </w:r>
    </w:p>
    <w:p w:rsidR="00C82700" w:rsidRPr="00C82700" w:rsidRDefault="00C82700" w:rsidP="00C8270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C82700">
        <w:rPr>
          <w:sz w:val="22"/>
          <w:szCs w:val="22"/>
        </w:rPr>
        <w:t>Coordinating the transition process to Secondary School</w:t>
      </w:r>
    </w:p>
    <w:p w:rsidR="00C82700" w:rsidRPr="00C82700" w:rsidRDefault="00C82700" w:rsidP="00C8270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C82700">
        <w:rPr>
          <w:sz w:val="22"/>
          <w:szCs w:val="22"/>
        </w:rPr>
        <w:t>To be responsible for intake of students, arranging interviews, ensuring necessary forms are completed and records update</w:t>
      </w:r>
    </w:p>
    <w:p w:rsidR="00C82700" w:rsidRPr="00C82700" w:rsidRDefault="00C82700" w:rsidP="00C8270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C82700">
        <w:rPr>
          <w:sz w:val="22"/>
          <w:szCs w:val="22"/>
        </w:rPr>
        <w:t>Liaising with Local Authority, EWO and various external agencies</w:t>
      </w:r>
    </w:p>
    <w:p w:rsidR="00C82700" w:rsidRPr="00C82700" w:rsidRDefault="00C82700" w:rsidP="00C8270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C82700">
        <w:rPr>
          <w:sz w:val="22"/>
          <w:szCs w:val="22"/>
        </w:rPr>
        <w:t>Manage the on/off roll procedure and liaise with previous or future schools, ensure records and necessary forms completed and authorised prior to students being removed from school roll</w:t>
      </w:r>
    </w:p>
    <w:p w:rsidR="00C82700" w:rsidRPr="00C82700" w:rsidRDefault="00C82700" w:rsidP="00C8270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C82700">
        <w:rPr>
          <w:sz w:val="22"/>
          <w:szCs w:val="22"/>
        </w:rPr>
        <w:t>Attend student - parent meetings</w:t>
      </w:r>
    </w:p>
    <w:p w:rsidR="00C82700" w:rsidRPr="00C82700" w:rsidRDefault="00C82700" w:rsidP="00C8270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C82700">
        <w:rPr>
          <w:sz w:val="22"/>
          <w:szCs w:val="22"/>
        </w:rPr>
        <w:t>Responsible for collecting and collating student data</w:t>
      </w:r>
    </w:p>
    <w:p w:rsidR="00C82700" w:rsidRPr="00C82700" w:rsidRDefault="00C82700" w:rsidP="00C8270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C82700">
        <w:rPr>
          <w:sz w:val="22"/>
          <w:szCs w:val="22"/>
        </w:rPr>
        <w:t>Maintain up-to-date student/parent contact details</w:t>
      </w:r>
    </w:p>
    <w:p w:rsidR="00C82700" w:rsidRPr="00C82700" w:rsidRDefault="00C82700" w:rsidP="00C8270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C82700">
        <w:rPr>
          <w:sz w:val="22"/>
          <w:szCs w:val="22"/>
        </w:rPr>
        <w:t>Ensuring eligibility to study in the UK</w:t>
      </w:r>
    </w:p>
    <w:p w:rsidR="00C82700" w:rsidRPr="00C82700" w:rsidRDefault="00C82700" w:rsidP="00C8270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C82700">
        <w:rPr>
          <w:sz w:val="22"/>
          <w:szCs w:val="22"/>
        </w:rPr>
        <w:t>Be responsible for all aspects of computerised and manual student records ensuring records are kept up to date</w:t>
      </w:r>
    </w:p>
    <w:p w:rsidR="00C82700" w:rsidRPr="00C82700" w:rsidRDefault="00C82700" w:rsidP="00C8270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C82700">
        <w:rPr>
          <w:sz w:val="22"/>
          <w:szCs w:val="22"/>
        </w:rPr>
        <w:t>Producing reports and data when required</w:t>
      </w:r>
    </w:p>
    <w:p w:rsidR="00C82700" w:rsidRPr="00C82700" w:rsidRDefault="00C82700" w:rsidP="00C82700">
      <w:pPr>
        <w:pStyle w:val="Default"/>
        <w:rPr>
          <w:sz w:val="22"/>
          <w:szCs w:val="22"/>
        </w:rPr>
      </w:pPr>
    </w:p>
    <w:p w:rsidR="00C82700" w:rsidRPr="00C82700" w:rsidRDefault="00C82700" w:rsidP="00C82700">
      <w:pPr>
        <w:pStyle w:val="Default"/>
        <w:rPr>
          <w:b/>
          <w:sz w:val="22"/>
          <w:szCs w:val="22"/>
        </w:rPr>
      </w:pPr>
      <w:r w:rsidRPr="00C82700">
        <w:rPr>
          <w:b/>
          <w:sz w:val="22"/>
          <w:szCs w:val="22"/>
        </w:rPr>
        <w:t xml:space="preserve">2. To assist in the maintenance of the SIMS database for pupil and staff information: </w:t>
      </w:r>
    </w:p>
    <w:p w:rsidR="00C82700" w:rsidRPr="00C82700" w:rsidRDefault="00C82700" w:rsidP="00C8270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C82700">
        <w:rPr>
          <w:sz w:val="22"/>
          <w:szCs w:val="22"/>
        </w:rPr>
        <w:t xml:space="preserve">Maintain accurate information relating to both pupils and staff using SIMS database </w:t>
      </w:r>
    </w:p>
    <w:p w:rsidR="00C82700" w:rsidRPr="00C82700" w:rsidRDefault="00C82700" w:rsidP="00C8270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C82700">
        <w:rPr>
          <w:sz w:val="22"/>
          <w:szCs w:val="22"/>
        </w:rPr>
        <w:t>Data entry and creating documents as required</w:t>
      </w:r>
    </w:p>
    <w:p w:rsidR="00C82700" w:rsidRPr="00C82700" w:rsidRDefault="00C82700" w:rsidP="00C8270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C82700">
        <w:rPr>
          <w:sz w:val="22"/>
          <w:szCs w:val="22"/>
        </w:rPr>
        <w:t>Assist the Data Manager in completing and submitting census returns</w:t>
      </w:r>
    </w:p>
    <w:p w:rsidR="00C82700" w:rsidRPr="00C82700" w:rsidRDefault="00C82700" w:rsidP="00C82700">
      <w:pPr>
        <w:pStyle w:val="Default"/>
        <w:rPr>
          <w:sz w:val="22"/>
          <w:szCs w:val="22"/>
        </w:rPr>
      </w:pPr>
    </w:p>
    <w:p w:rsidR="00C82700" w:rsidRPr="00C82700" w:rsidRDefault="00C82700" w:rsidP="00C82700">
      <w:pPr>
        <w:pStyle w:val="Default"/>
        <w:rPr>
          <w:b/>
          <w:sz w:val="22"/>
          <w:szCs w:val="22"/>
        </w:rPr>
      </w:pPr>
      <w:r w:rsidRPr="00C82700">
        <w:rPr>
          <w:b/>
          <w:sz w:val="22"/>
          <w:szCs w:val="22"/>
        </w:rPr>
        <w:t>3. To provide administrative support to the school, including:</w:t>
      </w:r>
    </w:p>
    <w:p w:rsidR="00C82700" w:rsidRPr="00C82700" w:rsidRDefault="00C82700" w:rsidP="00C82700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C82700">
        <w:rPr>
          <w:sz w:val="22"/>
          <w:szCs w:val="22"/>
        </w:rPr>
        <w:t>Assisting teachers in contacting parents and pupils where necessary</w:t>
      </w:r>
    </w:p>
    <w:p w:rsidR="00C82700" w:rsidRPr="00C82700" w:rsidRDefault="00C82700" w:rsidP="00C82700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C82700">
        <w:rPr>
          <w:sz w:val="22"/>
          <w:szCs w:val="22"/>
        </w:rPr>
        <w:t>Provide administrative support as directed.</w:t>
      </w:r>
    </w:p>
    <w:p w:rsidR="00C82700" w:rsidRPr="00C82700" w:rsidRDefault="00C82700" w:rsidP="00C82700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C82700">
        <w:rPr>
          <w:sz w:val="22"/>
          <w:szCs w:val="22"/>
        </w:rPr>
        <w:t>Provide cover for Reception as and when required</w:t>
      </w:r>
    </w:p>
    <w:p w:rsidR="00C82700" w:rsidRPr="00C82700" w:rsidRDefault="00C82700" w:rsidP="00C82700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C82700">
        <w:rPr>
          <w:sz w:val="22"/>
          <w:szCs w:val="22"/>
        </w:rPr>
        <w:t xml:space="preserve">To assist in any area of administration ensuring the smooth running of the administration office and reception area </w:t>
      </w:r>
    </w:p>
    <w:p w:rsidR="00C82700" w:rsidRPr="00C82700" w:rsidRDefault="00C82700" w:rsidP="00C82700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C82700">
        <w:rPr>
          <w:sz w:val="22"/>
          <w:szCs w:val="22"/>
        </w:rPr>
        <w:t>To carry out a range of duties in readiness for the start of the academic year</w:t>
      </w:r>
    </w:p>
    <w:p w:rsidR="00C82700" w:rsidRDefault="00C82700" w:rsidP="00C82700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C82700">
        <w:rPr>
          <w:sz w:val="22"/>
          <w:szCs w:val="22"/>
        </w:rPr>
        <w:t>Any other duties as may be reasonably required and to ensure the office is fully equipped and operational at all times</w:t>
      </w:r>
    </w:p>
    <w:p w:rsidR="00C82700" w:rsidRDefault="00C82700" w:rsidP="00C82700">
      <w:pPr>
        <w:pStyle w:val="Default"/>
        <w:rPr>
          <w:sz w:val="22"/>
          <w:szCs w:val="22"/>
        </w:rPr>
      </w:pPr>
    </w:p>
    <w:p w:rsidR="00C82700" w:rsidRPr="00C82700" w:rsidRDefault="00C82700" w:rsidP="00C82700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323232"/>
          <w:lang w:eastAsia="en-GB"/>
        </w:rPr>
      </w:pPr>
      <w:r w:rsidRPr="00C82700">
        <w:rPr>
          <w:rFonts w:ascii="Arial" w:eastAsia="Times New Roman" w:hAnsi="Arial" w:cs="Arial"/>
          <w:color w:val="323232"/>
          <w:lang w:eastAsia="en-GB"/>
        </w:rPr>
        <w:t>This is a newly created role and inevitably duties will develop and change. The successful candidate would therefore expect periodic variations to the job description.</w:t>
      </w:r>
    </w:p>
    <w:p w:rsidR="00C82700" w:rsidRPr="00C82700" w:rsidRDefault="00C82700" w:rsidP="00C82700">
      <w:pPr>
        <w:shd w:val="clear" w:color="auto" w:fill="FFFFFF"/>
        <w:spacing w:after="192" w:line="240" w:lineRule="auto"/>
        <w:rPr>
          <w:rFonts w:ascii="Arial" w:hAnsi="Arial" w:cs="Arial"/>
        </w:rPr>
      </w:pPr>
      <w:r w:rsidRPr="00C82700">
        <w:rPr>
          <w:rFonts w:ascii="Arial" w:eastAsia="Times New Roman" w:hAnsi="Arial" w:cs="Arial"/>
          <w:color w:val="323232"/>
          <w:lang w:eastAsia="en-GB"/>
        </w:rPr>
        <w:t>An Enhanced DBS Disclosure will be required.</w:t>
      </w:r>
    </w:p>
    <w:p w:rsidR="00C82700" w:rsidRPr="00C82700" w:rsidRDefault="00C82700" w:rsidP="00C82700">
      <w:pPr>
        <w:pStyle w:val="Default"/>
        <w:rPr>
          <w:sz w:val="22"/>
          <w:szCs w:val="22"/>
        </w:rPr>
      </w:pPr>
    </w:p>
    <w:sectPr w:rsidR="00C82700" w:rsidRPr="00C8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01D7F"/>
    <w:multiLevelType w:val="multilevel"/>
    <w:tmpl w:val="7014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D4E91"/>
    <w:multiLevelType w:val="hybridMultilevel"/>
    <w:tmpl w:val="C78E3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A55D0"/>
    <w:multiLevelType w:val="hybridMultilevel"/>
    <w:tmpl w:val="C37C2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D3EAD"/>
    <w:multiLevelType w:val="hybridMultilevel"/>
    <w:tmpl w:val="D42AC5EA"/>
    <w:lvl w:ilvl="0" w:tplc="A8B015C6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87916"/>
    <w:multiLevelType w:val="hybridMultilevel"/>
    <w:tmpl w:val="2A7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17D44"/>
    <w:multiLevelType w:val="multilevel"/>
    <w:tmpl w:val="ECC8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00"/>
    <w:rsid w:val="001B2AD4"/>
    <w:rsid w:val="003C5885"/>
    <w:rsid w:val="00594D6A"/>
    <w:rsid w:val="00C82700"/>
    <w:rsid w:val="00D57250"/>
    <w:rsid w:val="00E6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478079B-87D7-45DB-8509-F9530A02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700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2700"/>
    <w:pPr>
      <w:tabs>
        <w:tab w:val="center" w:pos="4153"/>
        <w:tab w:val="right" w:pos="8306"/>
      </w:tabs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C82700"/>
    <w:rPr>
      <w:rFonts w:ascii="Century Gothic" w:eastAsia="Times New Roman" w:hAnsi="Century Gothic" w:cs="Times New Roman"/>
      <w:sz w:val="20"/>
      <w:szCs w:val="24"/>
    </w:rPr>
  </w:style>
  <w:style w:type="paragraph" w:styleId="BodyText">
    <w:name w:val="Body Text"/>
    <w:basedOn w:val="Normal"/>
    <w:link w:val="BodyTextChar"/>
    <w:rsid w:val="00C82700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82700"/>
    <w:rPr>
      <w:rFonts w:ascii="Century Gothic" w:eastAsia="Times New Roman" w:hAnsi="Century Gothic" w:cs="Times New Roman"/>
      <w:sz w:val="20"/>
      <w:szCs w:val="24"/>
    </w:rPr>
  </w:style>
  <w:style w:type="paragraph" w:customStyle="1" w:styleId="Default">
    <w:name w:val="Default"/>
    <w:rsid w:val="00C827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82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C5E26-D0EB-47E4-933E-9B0E54A6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Davidson</dc:creator>
  <cp:keywords/>
  <dc:description/>
  <cp:lastModifiedBy>Zoe Davidson</cp:lastModifiedBy>
  <cp:revision>2</cp:revision>
  <cp:lastPrinted>2017-06-07T15:00:00Z</cp:lastPrinted>
  <dcterms:created xsi:type="dcterms:W3CDTF">2017-06-07T15:33:00Z</dcterms:created>
  <dcterms:modified xsi:type="dcterms:W3CDTF">2017-06-07T15:33:00Z</dcterms:modified>
</cp:coreProperties>
</file>