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E74" w:rsidRPr="00EF7BD2" w:rsidRDefault="00D74E74" w:rsidP="00F93529">
      <w:pPr>
        <w:rPr>
          <w:b/>
          <w:bCs/>
          <w:sz w:val="40"/>
          <w:lang w:val="en-GB"/>
        </w:rPr>
      </w:pPr>
    </w:p>
    <w:p w:rsidR="00EF7BD2" w:rsidRPr="00DC0FF2" w:rsidRDefault="00F93529" w:rsidP="00EF7BD2">
      <w:pPr>
        <w:rPr>
          <w:b/>
          <w:bCs/>
          <w:sz w:val="32"/>
          <w:szCs w:val="32"/>
          <w:lang w:val="en-GB"/>
        </w:rPr>
      </w:pPr>
      <w:r w:rsidRPr="00DC0FF2">
        <w:rPr>
          <w:b/>
          <w:bCs/>
          <w:sz w:val="32"/>
          <w:szCs w:val="32"/>
          <w:lang w:val="en-GB"/>
        </w:rPr>
        <w:t>Curriculum Area Responsibilit</w:t>
      </w:r>
      <w:r w:rsidR="00A03DB8" w:rsidRPr="00DC0FF2">
        <w:rPr>
          <w:b/>
          <w:bCs/>
          <w:sz w:val="32"/>
          <w:szCs w:val="32"/>
          <w:lang w:val="en-GB"/>
        </w:rPr>
        <w:t>y</w:t>
      </w:r>
      <w:r w:rsidR="00DC0FF2">
        <w:rPr>
          <w:b/>
          <w:bCs/>
          <w:sz w:val="32"/>
          <w:szCs w:val="32"/>
          <w:lang w:val="en-GB"/>
        </w:rPr>
        <w:t>:</w:t>
      </w:r>
    </w:p>
    <w:p w:rsidR="00EF7BD2" w:rsidRPr="00927866" w:rsidRDefault="00EF7BD2" w:rsidP="00EF7BD2">
      <w:pPr>
        <w:rPr>
          <w:b/>
          <w:bCs/>
          <w:sz w:val="32"/>
          <w:szCs w:val="32"/>
          <w:lang w:val="en-GB"/>
        </w:rPr>
      </w:pPr>
      <w:r>
        <w:rPr>
          <w:b/>
          <w:bCs/>
          <w:sz w:val="32"/>
          <w:szCs w:val="32"/>
          <w:lang w:val="en-GB"/>
        </w:rPr>
        <w:t xml:space="preserve">Raising </w:t>
      </w:r>
      <w:r w:rsidR="00AC6365">
        <w:rPr>
          <w:b/>
          <w:bCs/>
          <w:sz w:val="32"/>
          <w:szCs w:val="32"/>
          <w:lang w:val="en-GB"/>
        </w:rPr>
        <w:t>A</w:t>
      </w:r>
      <w:r>
        <w:rPr>
          <w:b/>
          <w:bCs/>
          <w:sz w:val="32"/>
          <w:szCs w:val="32"/>
          <w:lang w:val="en-GB"/>
        </w:rPr>
        <w:t>ttainment</w:t>
      </w:r>
      <w:r w:rsidR="002D5DC1">
        <w:rPr>
          <w:b/>
          <w:bCs/>
          <w:sz w:val="32"/>
          <w:szCs w:val="32"/>
          <w:lang w:val="en-GB"/>
        </w:rPr>
        <w:t xml:space="preserve"> </w:t>
      </w:r>
      <w:r w:rsidR="00DC0FF2">
        <w:rPr>
          <w:b/>
          <w:bCs/>
          <w:sz w:val="32"/>
          <w:szCs w:val="32"/>
          <w:lang w:val="en-GB"/>
        </w:rPr>
        <w:t xml:space="preserve">Leader in Years 12&amp;13 </w:t>
      </w:r>
      <w:r>
        <w:rPr>
          <w:b/>
          <w:bCs/>
          <w:sz w:val="32"/>
          <w:szCs w:val="32"/>
          <w:lang w:val="en-GB"/>
        </w:rPr>
        <w:t>in Mathematics</w:t>
      </w:r>
    </w:p>
    <w:p w:rsidR="00EF7BD2" w:rsidRPr="00A03DB8" w:rsidRDefault="00EF7BD2" w:rsidP="00EF7BD2">
      <w:pPr>
        <w:rPr>
          <w:sz w:val="16"/>
          <w:szCs w:val="16"/>
          <w:lang w:val="en-GB"/>
        </w:rPr>
      </w:pPr>
    </w:p>
    <w:p w:rsidR="005914C5" w:rsidRPr="00AC6365" w:rsidRDefault="00EF7BD2" w:rsidP="00F93529">
      <w:pPr>
        <w:rPr>
          <w:lang w:val="en-GB"/>
        </w:rPr>
      </w:pPr>
      <w:r>
        <w:rPr>
          <w:lang w:val="en-GB"/>
        </w:rPr>
        <w:t>This job description is based on the original TLR job description for a curriculum area responsibility.  All job descriptions will be reviewed during the year.</w:t>
      </w:r>
    </w:p>
    <w:p w:rsidR="00F93529" w:rsidRPr="00EF7BD2" w:rsidRDefault="00F93529" w:rsidP="00F93529">
      <w:pPr>
        <w:rPr>
          <w:sz w:val="16"/>
          <w:szCs w:val="16"/>
          <w:lang w:val="en-GB"/>
        </w:rPr>
      </w:pPr>
    </w:p>
    <w:tbl>
      <w:tblPr>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9766"/>
      </w:tblGrid>
      <w:tr w:rsidR="00F93529" w:rsidRPr="00EF7BD2" w:rsidTr="005D334B">
        <w:tc>
          <w:tcPr>
            <w:tcW w:w="1188" w:type="dxa"/>
            <w:shd w:val="clear" w:color="auto" w:fill="auto"/>
          </w:tcPr>
          <w:p w:rsidR="00F93529" w:rsidRPr="00EF7BD2" w:rsidRDefault="00F93529" w:rsidP="00F93529">
            <w:pPr>
              <w:rPr>
                <w:b/>
                <w:bCs/>
                <w:sz w:val="22"/>
                <w:szCs w:val="22"/>
                <w:lang w:val="en-GB"/>
              </w:rPr>
            </w:pPr>
            <w:r w:rsidRPr="00EF7BD2">
              <w:rPr>
                <w:b/>
                <w:bCs/>
                <w:sz w:val="22"/>
                <w:szCs w:val="22"/>
                <w:lang w:val="en-GB"/>
              </w:rPr>
              <w:t>1</w:t>
            </w:r>
          </w:p>
        </w:tc>
        <w:tc>
          <w:tcPr>
            <w:tcW w:w="9766" w:type="dxa"/>
            <w:shd w:val="clear" w:color="auto" w:fill="auto"/>
          </w:tcPr>
          <w:p w:rsidR="00F93529" w:rsidRPr="00EF7BD2" w:rsidRDefault="00F93529" w:rsidP="00F93529">
            <w:pPr>
              <w:rPr>
                <w:b/>
                <w:bCs/>
                <w:sz w:val="22"/>
                <w:szCs w:val="22"/>
                <w:lang w:val="en-GB"/>
              </w:rPr>
            </w:pPr>
            <w:r w:rsidRPr="00EF7BD2">
              <w:rPr>
                <w:b/>
                <w:bCs/>
                <w:sz w:val="22"/>
                <w:szCs w:val="22"/>
                <w:lang w:val="en-GB"/>
              </w:rPr>
              <w:t>Job purpose</w:t>
            </w:r>
          </w:p>
          <w:p w:rsidR="00F93529" w:rsidRPr="00EF7BD2" w:rsidRDefault="00F93529" w:rsidP="00F93529">
            <w:pPr>
              <w:rPr>
                <w:b/>
                <w:bCs/>
                <w:sz w:val="22"/>
                <w:szCs w:val="22"/>
                <w:lang w:val="en-GB"/>
              </w:rPr>
            </w:pPr>
          </w:p>
        </w:tc>
      </w:tr>
      <w:tr w:rsidR="00F93529" w:rsidRPr="00EF7BD2" w:rsidTr="005D334B">
        <w:tc>
          <w:tcPr>
            <w:tcW w:w="1188" w:type="dxa"/>
            <w:shd w:val="clear" w:color="auto" w:fill="auto"/>
          </w:tcPr>
          <w:p w:rsidR="00F93529" w:rsidRPr="00EF7BD2" w:rsidRDefault="00F93529" w:rsidP="00F93529">
            <w:pPr>
              <w:rPr>
                <w:sz w:val="22"/>
                <w:szCs w:val="22"/>
                <w:lang w:val="en-GB"/>
              </w:rPr>
            </w:pPr>
            <w:r w:rsidRPr="00EF7BD2">
              <w:rPr>
                <w:sz w:val="22"/>
                <w:szCs w:val="22"/>
                <w:lang w:val="en-GB"/>
              </w:rPr>
              <w:t>1.1</w:t>
            </w:r>
          </w:p>
        </w:tc>
        <w:tc>
          <w:tcPr>
            <w:tcW w:w="9766" w:type="dxa"/>
            <w:shd w:val="clear" w:color="auto" w:fill="auto"/>
          </w:tcPr>
          <w:p w:rsidR="00F93529" w:rsidRPr="00EF7BD2" w:rsidRDefault="00F93529" w:rsidP="005914C5">
            <w:pPr>
              <w:rPr>
                <w:sz w:val="22"/>
                <w:szCs w:val="22"/>
                <w:lang w:val="en-GB"/>
              </w:rPr>
            </w:pPr>
            <w:r w:rsidRPr="00EF7BD2">
              <w:rPr>
                <w:sz w:val="22"/>
                <w:szCs w:val="22"/>
                <w:lang w:val="en-GB"/>
              </w:rPr>
              <w:t>T</w:t>
            </w:r>
            <w:r w:rsidR="00AC6365">
              <w:rPr>
                <w:sz w:val="22"/>
                <w:szCs w:val="22"/>
                <w:lang w:val="en-GB"/>
              </w:rPr>
              <w:t xml:space="preserve">o support the Head of </w:t>
            </w:r>
            <w:r w:rsidR="008B41DA" w:rsidRPr="00EF7BD2">
              <w:rPr>
                <w:sz w:val="22"/>
                <w:szCs w:val="22"/>
                <w:lang w:val="en-GB"/>
              </w:rPr>
              <w:t>Mathematics</w:t>
            </w:r>
            <w:r w:rsidR="00251F89" w:rsidRPr="00EF7BD2">
              <w:rPr>
                <w:sz w:val="22"/>
                <w:szCs w:val="22"/>
                <w:lang w:val="en-GB"/>
              </w:rPr>
              <w:t xml:space="preserve"> and all aspects of the school’s strategic purposes.</w:t>
            </w:r>
          </w:p>
          <w:p w:rsidR="00F93529" w:rsidRPr="00EF7BD2" w:rsidRDefault="00F93529" w:rsidP="005D334B">
            <w:pPr>
              <w:ind w:left="360"/>
              <w:rPr>
                <w:sz w:val="22"/>
                <w:szCs w:val="22"/>
                <w:lang w:val="en-GB"/>
              </w:rPr>
            </w:pPr>
          </w:p>
        </w:tc>
      </w:tr>
      <w:tr w:rsidR="00565C65" w:rsidRPr="00EF7BD2" w:rsidTr="005D334B">
        <w:tc>
          <w:tcPr>
            <w:tcW w:w="1188" w:type="dxa"/>
            <w:shd w:val="clear" w:color="auto" w:fill="auto"/>
          </w:tcPr>
          <w:p w:rsidR="00565C65" w:rsidRPr="00EF7BD2" w:rsidRDefault="00565C65" w:rsidP="00F93529">
            <w:pPr>
              <w:rPr>
                <w:sz w:val="22"/>
                <w:szCs w:val="22"/>
                <w:lang w:val="en-GB"/>
              </w:rPr>
            </w:pPr>
            <w:r w:rsidRPr="00EF7BD2">
              <w:rPr>
                <w:sz w:val="22"/>
                <w:szCs w:val="22"/>
                <w:lang w:val="en-GB"/>
              </w:rPr>
              <w:t>1.2</w:t>
            </w:r>
          </w:p>
        </w:tc>
        <w:tc>
          <w:tcPr>
            <w:tcW w:w="9766" w:type="dxa"/>
            <w:shd w:val="clear" w:color="auto" w:fill="auto"/>
          </w:tcPr>
          <w:p w:rsidR="00565C65" w:rsidRPr="00EF7BD2" w:rsidRDefault="00565C65" w:rsidP="00F93529">
            <w:pPr>
              <w:rPr>
                <w:sz w:val="22"/>
                <w:szCs w:val="22"/>
                <w:lang w:val="en-GB"/>
              </w:rPr>
            </w:pPr>
            <w:r w:rsidRPr="00EF7BD2">
              <w:rPr>
                <w:sz w:val="22"/>
                <w:szCs w:val="22"/>
                <w:lang w:val="en-GB"/>
              </w:rPr>
              <w:t>With the Headteacher and other senior staff, to share in the leadership, development, monitoring and implementation of all whole school policies and procedures relating to our key purposes, primarily within, but also beyond the curriculum area.</w:t>
            </w:r>
          </w:p>
        </w:tc>
      </w:tr>
      <w:tr w:rsidR="00565C65" w:rsidRPr="00EF7BD2" w:rsidTr="005D334B">
        <w:tc>
          <w:tcPr>
            <w:tcW w:w="1188" w:type="dxa"/>
            <w:shd w:val="clear" w:color="auto" w:fill="auto"/>
          </w:tcPr>
          <w:p w:rsidR="00565C65" w:rsidRPr="00EF7BD2" w:rsidRDefault="00565C65" w:rsidP="00F93529">
            <w:pPr>
              <w:rPr>
                <w:b/>
                <w:bCs/>
                <w:sz w:val="22"/>
                <w:szCs w:val="22"/>
                <w:lang w:val="en-GB"/>
              </w:rPr>
            </w:pPr>
            <w:r w:rsidRPr="00EF7BD2">
              <w:rPr>
                <w:b/>
                <w:bCs/>
                <w:sz w:val="22"/>
                <w:szCs w:val="22"/>
                <w:lang w:val="en-GB"/>
              </w:rPr>
              <w:t>2</w:t>
            </w:r>
          </w:p>
        </w:tc>
        <w:tc>
          <w:tcPr>
            <w:tcW w:w="9766" w:type="dxa"/>
            <w:shd w:val="clear" w:color="auto" w:fill="auto"/>
          </w:tcPr>
          <w:p w:rsidR="00565C65" w:rsidRPr="00EF7BD2" w:rsidRDefault="00565C65" w:rsidP="00F93529">
            <w:pPr>
              <w:rPr>
                <w:b/>
                <w:bCs/>
                <w:sz w:val="22"/>
                <w:szCs w:val="22"/>
                <w:lang w:val="en-GB"/>
              </w:rPr>
            </w:pPr>
            <w:r w:rsidRPr="00EF7BD2">
              <w:rPr>
                <w:b/>
                <w:bCs/>
                <w:sz w:val="22"/>
                <w:szCs w:val="22"/>
                <w:lang w:val="en-GB"/>
              </w:rPr>
              <w:t>Accountabilities</w:t>
            </w:r>
          </w:p>
          <w:p w:rsidR="00565C65" w:rsidRPr="00EF7BD2" w:rsidRDefault="00565C65" w:rsidP="00F93529">
            <w:pPr>
              <w:rPr>
                <w:b/>
                <w:bCs/>
                <w:sz w:val="22"/>
                <w:szCs w:val="22"/>
                <w:lang w:val="en-GB"/>
              </w:rPr>
            </w:pPr>
          </w:p>
        </w:tc>
      </w:tr>
      <w:tr w:rsidR="00565C65" w:rsidRPr="00EF7BD2" w:rsidTr="005D334B">
        <w:tc>
          <w:tcPr>
            <w:tcW w:w="1188" w:type="dxa"/>
            <w:shd w:val="clear" w:color="auto" w:fill="auto"/>
          </w:tcPr>
          <w:p w:rsidR="00565C65" w:rsidRPr="00EF7BD2" w:rsidRDefault="00565C65" w:rsidP="00F93529">
            <w:pPr>
              <w:rPr>
                <w:sz w:val="22"/>
                <w:szCs w:val="22"/>
                <w:lang w:val="en-GB"/>
              </w:rPr>
            </w:pPr>
            <w:r w:rsidRPr="00EF7BD2">
              <w:rPr>
                <w:sz w:val="22"/>
                <w:szCs w:val="22"/>
                <w:lang w:val="en-GB"/>
              </w:rPr>
              <w:t>2.1</w:t>
            </w:r>
          </w:p>
        </w:tc>
        <w:tc>
          <w:tcPr>
            <w:tcW w:w="9766" w:type="dxa"/>
            <w:shd w:val="clear" w:color="auto" w:fill="auto"/>
          </w:tcPr>
          <w:p w:rsidR="00565C65" w:rsidRPr="00EF7BD2" w:rsidRDefault="00565C65" w:rsidP="00F93529">
            <w:pPr>
              <w:rPr>
                <w:sz w:val="22"/>
                <w:szCs w:val="22"/>
                <w:lang w:val="en-GB"/>
              </w:rPr>
            </w:pPr>
            <w:r w:rsidRPr="00EF7BD2">
              <w:rPr>
                <w:sz w:val="22"/>
                <w:szCs w:val="22"/>
                <w:lang w:val="en-GB"/>
              </w:rPr>
              <w:t>Impact on the educational</w:t>
            </w:r>
            <w:r w:rsidR="00EF7BD2">
              <w:rPr>
                <w:sz w:val="22"/>
                <w:szCs w:val="22"/>
                <w:lang w:val="en-GB"/>
              </w:rPr>
              <w:t xml:space="preserve"> pro</w:t>
            </w:r>
            <w:r w:rsidR="00DC0FF2">
              <w:rPr>
                <w:sz w:val="22"/>
                <w:szCs w:val="22"/>
                <w:lang w:val="en-GB"/>
              </w:rPr>
              <w:t>gress of students within Years 12&amp;13</w:t>
            </w:r>
            <w:r w:rsidR="00EF7BD2">
              <w:rPr>
                <w:sz w:val="22"/>
                <w:szCs w:val="22"/>
                <w:lang w:val="en-GB"/>
              </w:rPr>
              <w:t>.</w:t>
            </w:r>
          </w:p>
        </w:tc>
      </w:tr>
      <w:tr w:rsidR="00565C65" w:rsidRPr="00EF7BD2" w:rsidTr="005D334B">
        <w:tc>
          <w:tcPr>
            <w:tcW w:w="1188" w:type="dxa"/>
            <w:shd w:val="clear" w:color="auto" w:fill="auto"/>
          </w:tcPr>
          <w:p w:rsidR="00565C65" w:rsidRPr="00EF7BD2" w:rsidRDefault="00565C65" w:rsidP="00F93529">
            <w:pPr>
              <w:rPr>
                <w:sz w:val="22"/>
                <w:szCs w:val="22"/>
                <w:lang w:val="en-GB"/>
              </w:rPr>
            </w:pPr>
          </w:p>
        </w:tc>
        <w:tc>
          <w:tcPr>
            <w:tcW w:w="9766" w:type="dxa"/>
            <w:shd w:val="clear" w:color="auto" w:fill="auto"/>
          </w:tcPr>
          <w:p w:rsidR="00565C65" w:rsidRPr="00EF7BD2" w:rsidRDefault="00565C65" w:rsidP="00F93529">
            <w:pPr>
              <w:rPr>
                <w:sz w:val="22"/>
                <w:szCs w:val="22"/>
                <w:lang w:val="en-GB"/>
              </w:rPr>
            </w:pPr>
            <w:r w:rsidRPr="00EF7BD2">
              <w:rPr>
                <w:sz w:val="22"/>
                <w:szCs w:val="22"/>
                <w:lang w:val="en-GB"/>
              </w:rPr>
              <w:t>This includes:</w:t>
            </w:r>
          </w:p>
          <w:p w:rsidR="00565C65" w:rsidRPr="00EF7BD2" w:rsidRDefault="00565C65" w:rsidP="00F93529">
            <w:pPr>
              <w:rPr>
                <w:sz w:val="22"/>
                <w:szCs w:val="22"/>
                <w:lang w:val="en-GB"/>
              </w:rPr>
            </w:pPr>
          </w:p>
          <w:p w:rsidR="00565C65" w:rsidRPr="00EF7BD2" w:rsidRDefault="008B41DA" w:rsidP="005D334B">
            <w:pPr>
              <w:numPr>
                <w:ilvl w:val="0"/>
                <w:numId w:val="2"/>
              </w:numPr>
              <w:rPr>
                <w:sz w:val="22"/>
                <w:szCs w:val="22"/>
                <w:lang w:val="en-GB"/>
              </w:rPr>
            </w:pPr>
            <w:r w:rsidRPr="00EF7BD2">
              <w:rPr>
                <w:sz w:val="22"/>
                <w:szCs w:val="22"/>
                <w:lang w:val="en-GB"/>
              </w:rPr>
              <w:t>Identification of potential underachievement through a thorough analysis of the data landscape in Mathematics’ performance tracking</w:t>
            </w:r>
            <w:r w:rsidR="00C27C1E" w:rsidRPr="00EF7BD2">
              <w:rPr>
                <w:sz w:val="22"/>
                <w:szCs w:val="22"/>
                <w:lang w:val="en-GB"/>
              </w:rPr>
              <w:t xml:space="preserve"> and ensuring that appropriate intervention is in place to avoid that underachievement.</w:t>
            </w:r>
          </w:p>
          <w:p w:rsidR="00565C65" w:rsidRPr="00EF7BD2" w:rsidRDefault="00565C65" w:rsidP="005D334B">
            <w:pPr>
              <w:numPr>
                <w:ilvl w:val="0"/>
                <w:numId w:val="2"/>
              </w:numPr>
              <w:rPr>
                <w:sz w:val="22"/>
                <w:szCs w:val="22"/>
                <w:lang w:val="en-GB"/>
              </w:rPr>
            </w:pPr>
            <w:r w:rsidRPr="00EF7BD2">
              <w:rPr>
                <w:sz w:val="22"/>
                <w:szCs w:val="22"/>
                <w:lang w:val="en-GB"/>
              </w:rPr>
              <w:t>Setting a positive and supportive tone, and adopting a problem-solving approach both in the curriculum area and throughout the school.</w:t>
            </w:r>
          </w:p>
          <w:p w:rsidR="00565C65" w:rsidRPr="00AC6365" w:rsidRDefault="00565C65" w:rsidP="00F93529">
            <w:pPr>
              <w:numPr>
                <w:ilvl w:val="0"/>
                <w:numId w:val="2"/>
              </w:numPr>
              <w:rPr>
                <w:lang w:val="en-GB"/>
              </w:rPr>
            </w:pPr>
            <w:r w:rsidRPr="00EF7BD2">
              <w:rPr>
                <w:sz w:val="22"/>
                <w:szCs w:val="22"/>
                <w:lang w:val="en-GB"/>
              </w:rPr>
              <w:t xml:space="preserve">Supporting the </w:t>
            </w:r>
            <w:r w:rsidR="008B41DA" w:rsidRPr="00EF7BD2">
              <w:rPr>
                <w:sz w:val="22"/>
                <w:szCs w:val="22"/>
                <w:lang w:val="en-GB"/>
              </w:rPr>
              <w:t>H</w:t>
            </w:r>
            <w:r w:rsidRPr="00EF7BD2">
              <w:rPr>
                <w:sz w:val="22"/>
                <w:szCs w:val="22"/>
                <w:lang w:val="en-GB"/>
              </w:rPr>
              <w:t xml:space="preserve">ead of </w:t>
            </w:r>
            <w:r w:rsidR="008B41DA" w:rsidRPr="00EF7BD2">
              <w:rPr>
                <w:sz w:val="22"/>
                <w:szCs w:val="22"/>
                <w:lang w:val="en-GB"/>
              </w:rPr>
              <w:t>Mathematics</w:t>
            </w:r>
            <w:r w:rsidR="00EF7BD2">
              <w:rPr>
                <w:sz w:val="22"/>
                <w:szCs w:val="22"/>
                <w:lang w:val="en-GB"/>
              </w:rPr>
              <w:t xml:space="preserve"> as appropriate in </w:t>
            </w:r>
            <w:r w:rsidR="00EF7BD2" w:rsidRPr="00F2515B">
              <w:rPr>
                <w:lang w:val="en-GB"/>
              </w:rPr>
              <w:t xml:space="preserve">the day </w:t>
            </w:r>
            <w:r w:rsidR="00DC0FF2">
              <w:rPr>
                <w:lang w:val="en-GB"/>
              </w:rPr>
              <w:t>to day management of the Years 12&amp;13</w:t>
            </w:r>
            <w:r w:rsidR="00EF7BD2">
              <w:rPr>
                <w:lang w:val="en-GB"/>
              </w:rPr>
              <w:t xml:space="preserve"> Mathematics</w:t>
            </w:r>
            <w:r w:rsidR="00EF7BD2" w:rsidRPr="00F2515B">
              <w:rPr>
                <w:lang w:val="en-GB"/>
              </w:rPr>
              <w:t>.</w:t>
            </w:r>
          </w:p>
        </w:tc>
      </w:tr>
      <w:tr w:rsidR="00565C65" w:rsidRPr="00EF7BD2" w:rsidTr="005D334B">
        <w:tc>
          <w:tcPr>
            <w:tcW w:w="1188" w:type="dxa"/>
            <w:shd w:val="clear" w:color="auto" w:fill="auto"/>
          </w:tcPr>
          <w:p w:rsidR="00565C65" w:rsidRPr="00EF7BD2" w:rsidRDefault="00565C65" w:rsidP="00F93529">
            <w:pPr>
              <w:rPr>
                <w:sz w:val="22"/>
                <w:szCs w:val="22"/>
                <w:lang w:val="en-GB"/>
              </w:rPr>
            </w:pPr>
            <w:r w:rsidRPr="00EF7BD2">
              <w:rPr>
                <w:sz w:val="22"/>
                <w:szCs w:val="22"/>
                <w:lang w:val="en-GB"/>
              </w:rPr>
              <w:t>2.2</w:t>
            </w:r>
          </w:p>
        </w:tc>
        <w:tc>
          <w:tcPr>
            <w:tcW w:w="9766" w:type="dxa"/>
            <w:shd w:val="clear" w:color="auto" w:fill="auto"/>
          </w:tcPr>
          <w:p w:rsidR="00565C65" w:rsidRPr="00EF7BD2" w:rsidRDefault="00565C65" w:rsidP="00F93529">
            <w:pPr>
              <w:rPr>
                <w:sz w:val="22"/>
                <w:szCs w:val="22"/>
                <w:lang w:val="en-GB"/>
              </w:rPr>
            </w:pPr>
            <w:r w:rsidRPr="00EF7BD2">
              <w:rPr>
                <w:sz w:val="22"/>
                <w:szCs w:val="22"/>
                <w:lang w:val="en-GB"/>
              </w:rPr>
              <w:t xml:space="preserve">Supporting the development of the curriculum area, e.g. in the day to day management of the </w:t>
            </w:r>
            <w:r w:rsidR="00DC0FF2">
              <w:rPr>
                <w:sz w:val="22"/>
                <w:szCs w:val="22"/>
                <w:lang w:val="en-GB"/>
              </w:rPr>
              <w:t>Years 12&amp;13</w:t>
            </w:r>
            <w:r w:rsidRPr="00EF7BD2">
              <w:rPr>
                <w:sz w:val="22"/>
                <w:szCs w:val="22"/>
                <w:lang w:val="en-GB"/>
              </w:rPr>
              <w:t>curriculum.</w:t>
            </w:r>
          </w:p>
        </w:tc>
      </w:tr>
      <w:tr w:rsidR="00565C65" w:rsidRPr="00EF7BD2" w:rsidTr="005D334B">
        <w:tc>
          <w:tcPr>
            <w:tcW w:w="1188" w:type="dxa"/>
            <w:shd w:val="clear" w:color="auto" w:fill="auto"/>
          </w:tcPr>
          <w:p w:rsidR="00565C65" w:rsidRPr="00EF7BD2" w:rsidRDefault="00565C65" w:rsidP="00F93529">
            <w:pPr>
              <w:rPr>
                <w:sz w:val="22"/>
                <w:szCs w:val="22"/>
                <w:lang w:val="en-GB"/>
              </w:rPr>
            </w:pPr>
          </w:p>
        </w:tc>
        <w:tc>
          <w:tcPr>
            <w:tcW w:w="9766" w:type="dxa"/>
            <w:shd w:val="clear" w:color="auto" w:fill="auto"/>
          </w:tcPr>
          <w:p w:rsidR="00565C65" w:rsidRPr="00EF7BD2" w:rsidRDefault="00565C65" w:rsidP="00F93529">
            <w:pPr>
              <w:rPr>
                <w:sz w:val="22"/>
                <w:szCs w:val="22"/>
                <w:lang w:val="en-GB"/>
              </w:rPr>
            </w:pPr>
            <w:r w:rsidRPr="00EF7BD2">
              <w:rPr>
                <w:sz w:val="22"/>
                <w:szCs w:val="22"/>
                <w:lang w:val="en-GB"/>
              </w:rPr>
              <w:t>This includes:</w:t>
            </w:r>
          </w:p>
          <w:p w:rsidR="00565C65" w:rsidRPr="00EF7BD2" w:rsidRDefault="00565C65" w:rsidP="00F93529">
            <w:pPr>
              <w:rPr>
                <w:sz w:val="22"/>
                <w:szCs w:val="22"/>
                <w:lang w:val="en-GB"/>
              </w:rPr>
            </w:pPr>
          </w:p>
          <w:p w:rsidR="00565C65" w:rsidRDefault="00565C65" w:rsidP="005D334B">
            <w:pPr>
              <w:numPr>
                <w:ilvl w:val="0"/>
                <w:numId w:val="3"/>
              </w:numPr>
              <w:rPr>
                <w:sz w:val="22"/>
                <w:szCs w:val="22"/>
                <w:lang w:val="en-GB"/>
              </w:rPr>
            </w:pPr>
            <w:r w:rsidRPr="00EF7BD2">
              <w:rPr>
                <w:sz w:val="22"/>
                <w:szCs w:val="22"/>
                <w:lang w:val="en-GB"/>
              </w:rPr>
              <w:t>Keeping up to date with developments within the subject and with wi</w:t>
            </w:r>
            <w:r w:rsidR="008B41DA" w:rsidRPr="00EF7BD2">
              <w:rPr>
                <w:sz w:val="22"/>
                <w:szCs w:val="22"/>
                <w:lang w:val="en-GB"/>
              </w:rPr>
              <w:t>der professional policy changes</w:t>
            </w:r>
            <w:r w:rsidRPr="00EF7BD2">
              <w:rPr>
                <w:sz w:val="22"/>
                <w:szCs w:val="22"/>
                <w:lang w:val="en-GB"/>
              </w:rPr>
              <w:t xml:space="preserve"> and</w:t>
            </w:r>
            <w:r w:rsidR="008B41DA" w:rsidRPr="00EF7BD2">
              <w:rPr>
                <w:sz w:val="22"/>
                <w:szCs w:val="22"/>
                <w:lang w:val="en-GB"/>
              </w:rPr>
              <w:t>,</w:t>
            </w:r>
            <w:r w:rsidRPr="00EF7BD2">
              <w:rPr>
                <w:sz w:val="22"/>
                <w:szCs w:val="22"/>
                <w:lang w:val="en-GB"/>
              </w:rPr>
              <w:t xml:space="preserve"> </w:t>
            </w:r>
            <w:r w:rsidR="008B41DA" w:rsidRPr="00EF7BD2">
              <w:rPr>
                <w:sz w:val="22"/>
                <w:szCs w:val="22"/>
                <w:lang w:val="en-GB"/>
              </w:rPr>
              <w:t xml:space="preserve">together with the Head of Mathematics, </w:t>
            </w:r>
            <w:r w:rsidRPr="00EF7BD2">
              <w:rPr>
                <w:sz w:val="22"/>
                <w:szCs w:val="22"/>
                <w:lang w:val="en-GB"/>
              </w:rPr>
              <w:t xml:space="preserve">to lead </w:t>
            </w:r>
            <w:r w:rsidR="008B41DA" w:rsidRPr="00EF7BD2">
              <w:rPr>
                <w:sz w:val="22"/>
                <w:szCs w:val="22"/>
                <w:lang w:val="en-GB"/>
              </w:rPr>
              <w:t xml:space="preserve">on </w:t>
            </w:r>
            <w:r w:rsidRPr="00EF7BD2">
              <w:rPr>
                <w:sz w:val="22"/>
                <w:szCs w:val="22"/>
                <w:lang w:val="en-GB"/>
              </w:rPr>
              <w:t>curricu</w:t>
            </w:r>
            <w:r w:rsidR="008B41DA" w:rsidRPr="00EF7BD2">
              <w:rPr>
                <w:sz w:val="22"/>
                <w:szCs w:val="22"/>
                <w:lang w:val="en-GB"/>
              </w:rPr>
              <w:t>lum development within the team, including the quality assurance of schemes of learning within the relevant key stage.</w:t>
            </w:r>
          </w:p>
          <w:p w:rsidR="00EF7BD2" w:rsidRPr="00EF7BD2" w:rsidRDefault="00EF7BD2" w:rsidP="00EF7BD2">
            <w:pPr>
              <w:numPr>
                <w:ilvl w:val="0"/>
                <w:numId w:val="3"/>
              </w:numPr>
              <w:rPr>
                <w:lang w:val="en-GB"/>
              </w:rPr>
            </w:pPr>
            <w:r>
              <w:rPr>
                <w:lang w:val="en-GB"/>
              </w:rPr>
              <w:t xml:space="preserve">Supporting in developing an engaging, challenging, creative </w:t>
            </w:r>
            <w:r w:rsidR="00DC0FF2">
              <w:rPr>
                <w:lang w:val="en-GB"/>
              </w:rPr>
              <w:t>and varied curriculum in Years 12&amp;13</w:t>
            </w:r>
            <w:r w:rsidR="00C40434">
              <w:rPr>
                <w:lang w:val="en-GB"/>
              </w:rPr>
              <w:t>.</w:t>
            </w:r>
          </w:p>
          <w:p w:rsidR="00565C65" w:rsidRPr="00AC6365" w:rsidRDefault="00EF7BD2" w:rsidP="00F93529">
            <w:pPr>
              <w:numPr>
                <w:ilvl w:val="0"/>
                <w:numId w:val="3"/>
              </w:numPr>
              <w:rPr>
                <w:sz w:val="22"/>
                <w:szCs w:val="22"/>
                <w:lang w:val="en-GB"/>
              </w:rPr>
            </w:pPr>
            <w:r>
              <w:rPr>
                <w:sz w:val="22"/>
                <w:szCs w:val="22"/>
                <w:lang w:val="en-GB"/>
              </w:rPr>
              <w:t>Supporting the Head of Mathematics</w:t>
            </w:r>
            <w:r w:rsidR="00565C65" w:rsidRPr="00EF7BD2">
              <w:rPr>
                <w:sz w:val="22"/>
                <w:szCs w:val="22"/>
                <w:lang w:val="en-GB"/>
              </w:rPr>
              <w:t xml:space="preserve"> as appropriate</w:t>
            </w:r>
            <w:r w:rsidR="00C40434">
              <w:rPr>
                <w:sz w:val="22"/>
                <w:szCs w:val="22"/>
                <w:lang w:val="en-GB"/>
              </w:rPr>
              <w:t xml:space="preserve"> at KS3 and KS4.</w:t>
            </w:r>
          </w:p>
        </w:tc>
      </w:tr>
      <w:tr w:rsidR="00565C65" w:rsidRPr="00EF7BD2" w:rsidTr="005D334B">
        <w:tc>
          <w:tcPr>
            <w:tcW w:w="1188" w:type="dxa"/>
            <w:shd w:val="clear" w:color="auto" w:fill="auto"/>
          </w:tcPr>
          <w:p w:rsidR="00565C65" w:rsidRPr="00EF7BD2" w:rsidRDefault="00565C65" w:rsidP="00F93529">
            <w:pPr>
              <w:rPr>
                <w:sz w:val="22"/>
                <w:szCs w:val="22"/>
                <w:lang w:val="en-GB"/>
              </w:rPr>
            </w:pPr>
            <w:r w:rsidRPr="00EF7BD2">
              <w:rPr>
                <w:sz w:val="22"/>
                <w:szCs w:val="22"/>
                <w:lang w:val="en-GB"/>
              </w:rPr>
              <w:t>2.3</w:t>
            </w:r>
          </w:p>
        </w:tc>
        <w:tc>
          <w:tcPr>
            <w:tcW w:w="9766" w:type="dxa"/>
            <w:shd w:val="clear" w:color="auto" w:fill="auto"/>
          </w:tcPr>
          <w:p w:rsidR="00565C65" w:rsidRPr="00EF7BD2" w:rsidRDefault="00565C65" w:rsidP="00F93529">
            <w:pPr>
              <w:rPr>
                <w:sz w:val="22"/>
                <w:szCs w:val="22"/>
                <w:lang w:val="en-GB"/>
              </w:rPr>
            </w:pPr>
            <w:r w:rsidRPr="00EF7BD2">
              <w:rPr>
                <w:sz w:val="22"/>
                <w:szCs w:val="22"/>
                <w:lang w:val="en-GB"/>
              </w:rPr>
              <w:t>Leading, developing and enhancing the teaching practice of other staff</w:t>
            </w:r>
          </w:p>
        </w:tc>
      </w:tr>
      <w:tr w:rsidR="00565C65" w:rsidRPr="00EF7BD2" w:rsidTr="005D334B">
        <w:tc>
          <w:tcPr>
            <w:tcW w:w="1188" w:type="dxa"/>
            <w:shd w:val="clear" w:color="auto" w:fill="auto"/>
          </w:tcPr>
          <w:p w:rsidR="00565C65" w:rsidRPr="00EF7BD2" w:rsidRDefault="00565C65" w:rsidP="00F93529">
            <w:pPr>
              <w:rPr>
                <w:sz w:val="22"/>
                <w:szCs w:val="22"/>
                <w:lang w:val="en-GB"/>
              </w:rPr>
            </w:pPr>
          </w:p>
        </w:tc>
        <w:tc>
          <w:tcPr>
            <w:tcW w:w="9766" w:type="dxa"/>
            <w:shd w:val="clear" w:color="auto" w:fill="auto"/>
          </w:tcPr>
          <w:p w:rsidR="00565C65" w:rsidRPr="00EF7BD2" w:rsidRDefault="00565C65" w:rsidP="00F93529">
            <w:pPr>
              <w:rPr>
                <w:sz w:val="22"/>
                <w:szCs w:val="22"/>
                <w:lang w:val="en-GB"/>
              </w:rPr>
            </w:pPr>
            <w:r w:rsidRPr="00EF7BD2">
              <w:rPr>
                <w:sz w:val="22"/>
                <w:szCs w:val="22"/>
                <w:lang w:val="en-GB"/>
              </w:rPr>
              <w:t xml:space="preserve">This includes supporting the </w:t>
            </w:r>
            <w:r w:rsidR="008B41DA" w:rsidRPr="00EF7BD2">
              <w:rPr>
                <w:sz w:val="22"/>
                <w:szCs w:val="22"/>
                <w:lang w:val="en-GB"/>
              </w:rPr>
              <w:t>Head of Mathematics</w:t>
            </w:r>
            <w:r w:rsidRPr="00EF7BD2">
              <w:rPr>
                <w:sz w:val="22"/>
                <w:szCs w:val="22"/>
                <w:lang w:val="en-GB"/>
              </w:rPr>
              <w:t xml:space="preserve"> in:</w:t>
            </w:r>
          </w:p>
          <w:p w:rsidR="00565C65" w:rsidRPr="00EF7BD2" w:rsidRDefault="00565C65" w:rsidP="00F93529">
            <w:pPr>
              <w:rPr>
                <w:sz w:val="22"/>
                <w:szCs w:val="22"/>
                <w:lang w:val="en-GB"/>
              </w:rPr>
            </w:pPr>
          </w:p>
          <w:p w:rsidR="00565C65" w:rsidRPr="00EF7BD2" w:rsidRDefault="00565C65" w:rsidP="005D334B">
            <w:pPr>
              <w:numPr>
                <w:ilvl w:val="0"/>
                <w:numId w:val="4"/>
              </w:numPr>
              <w:rPr>
                <w:sz w:val="22"/>
                <w:szCs w:val="22"/>
                <w:lang w:val="en-GB"/>
              </w:rPr>
            </w:pPr>
            <w:r w:rsidRPr="00EF7BD2">
              <w:rPr>
                <w:sz w:val="22"/>
                <w:szCs w:val="22"/>
                <w:lang w:val="en-GB"/>
              </w:rPr>
              <w:t>Ensuring that staff development needs are identified and appropriate steps taken to meet these.</w:t>
            </w:r>
          </w:p>
          <w:p w:rsidR="00565C65" w:rsidRPr="00EF7BD2" w:rsidRDefault="00565C65" w:rsidP="005D334B">
            <w:pPr>
              <w:numPr>
                <w:ilvl w:val="0"/>
                <w:numId w:val="4"/>
              </w:numPr>
              <w:rPr>
                <w:sz w:val="22"/>
                <w:szCs w:val="22"/>
                <w:lang w:val="en-GB"/>
              </w:rPr>
            </w:pPr>
            <w:r w:rsidRPr="00EF7BD2">
              <w:rPr>
                <w:sz w:val="22"/>
                <w:szCs w:val="22"/>
                <w:lang w:val="en-GB"/>
              </w:rPr>
              <w:t>Providing staff development as necessary.</w:t>
            </w:r>
          </w:p>
          <w:p w:rsidR="00565C65" w:rsidRPr="00AC6365" w:rsidRDefault="00565C65" w:rsidP="00F93529">
            <w:pPr>
              <w:numPr>
                <w:ilvl w:val="0"/>
                <w:numId w:val="4"/>
              </w:numPr>
              <w:rPr>
                <w:sz w:val="22"/>
                <w:szCs w:val="22"/>
                <w:lang w:val="en-GB"/>
              </w:rPr>
            </w:pPr>
            <w:r w:rsidRPr="00EF7BD2">
              <w:rPr>
                <w:sz w:val="22"/>
                <w:szCs w:val="22"/>
                <w:lang w:val="en-GB"/>
              </w:rPr>
              <w:t>Promoting motivation, teamwork and good relationships.</w:t>
            </w:r>
          </w:p>
        </w:tc>
      </w:tr>
      <w:tr w:rsidR="00565C65" w:rsidRPr="00EF7BD2" w:rsidTr="005D334B">
        <w:tc>
          <w:tcPr>
            <w:tcW w:w="1188" w:type="dxa"/>
            <w:shd w:val="clear" w:color="auto" w:fill="auto"/>
          </w:tcPr>
          <w:p w:rsidR="00565C65" w:rsidRPr="00EF7BD2" w:rsidRDefault="00565C65" w:rsidP="00F93529">
            <w:pPr>
              <w:rPr>
                <w:b/>
                <w:bCs/>
                <w:sz w:val="22"/>
                <w:szCs w:val="22"/>
                <w:lang w:val="en-GB"/>
              </w:rPr>
            </w:pPr>
            <w:r w:rsidRPr="00EF7BD2">
              <w:rPr>
                <w:b/>
                <w:bCs/>
                <w:sz w:val="22"/>
                <w:szCs w:val="22"/>
                <w:lang w:val="en-GB"/>
              </w:rPr>
              <w:t>3</w:t>
            </w:r>
          </w:p>
        </w:tc>
        <w:tc>
          <w:tcPr>
            <w:tcW w:w="9766" w:type="dxa"/>
            <w:shd w:val="clear" w:color="auto" w:fill="auto"/>
          </w:tcPr>
          <w:p w:rsidR="00565C65" w:rsidRPr="00EF7BD2" w:rsidRDefault="00565C65" w:rsidP="00F93529">
            <w:pPr>
              <w:rPr>
                <w:b/>
                <w:bCs/>
                <w:sz w:val="22"/>
                <w:szCs w:val="22"/>
                <w:lang w:val="en-GB"/>
              </w:rPr>
            </w:pPr>
            <w:r w:rsidRPr="00EF7BD2">
              <w:rPr>
                <w:b/>
                <w:bCs/>
                <w:sz w:val="22"/>
                <w:szCs w:val="22"/>
                <w:lang w:val="en-GB"/>
              </w:rPr>
              <w:t>General</w:t>
            </w:r>
          </w:p>
          <w:p w:rsidR="00565C65" w:rsidRPr="00EF7BD2" w:rsidRDefault="00565C65" w:rsidP="00F93529">
            <w:pPr>
              <w:rPr>
                <w:b/>
                <w:bCs/>
                <w:sz w:val="22"/>
                <w:szCs w:val="22"/>
                <w:lang w:val="en-GB"/>
              </w:rPr>
            </w:pPr>
          </w:p>
        </w:tc>
      </w:tr>
      <w:tr w:rsidR="00565C65" w:rsidRPr="00EF7BD2" w:rsidTr="005D334B">
        <w:tc>
          <w:tcPr>
            <w:tcW w:w="1188" w:type="dxa"/>
            <w:shd w:val="clear" w:color="auto" w:fill="auto"/>
          </w:tcPr>
          <w:p w:rsidR="00565C65" w:rsidRPr="00EF7BD2" w:rsidRDefault="00565C65" w:rsidP="00F93529">
            <w:pPr>
              <w:rPr>
                <w:sz w:val="22"/>
                <w:szCs w:val="22"/>
                <w:lang w:val="en-GB"/>
              </w:rPr>
            </w:pPr>
          </w:p>
        </w:tc>
        <w:tc>
          <w:tcPr>
            <w:tcW w:w="9766" w:type="dxa"/>
            <w:shd w:val="clear" w:color="auto" w:fill="auto"/>
          </w:tcPr>
          <w:p w:rsidR="00565C65" w:rsidRPr="00EF7BD2" w:rsidRDefault="00565C65" w:rsidP="005D334B">
            <w:pPr>
              <w:numPr>
                <w:ilvl w:val="0"/>
                <w:numId w:val="5"/>
              </w:numPr>
              <w:rPr>
                <w:sz w:val="22"/>
                <w:szCs w:val="22"/>
                <w:lang w:val="en-GB"/>
              </w:rPr>
            </w:pPr>
            <w:r w:rsidRPr="00EF7BD2">
              <w:rPr>
                <w:sz w:val="22"/>
                <w:szCs w:val="22"/>
                <w:lang w:val="en-GB"/>
              </w:rPr>
              <w:t>To assist the Headteacher in carrying out other duties as may be requested from time to time.</w:t>
            </w:r>
          </w:p>
          <w:p w:rsidR="00565C65" w:rsidRPr="00EF7BD2" w:rsidRDefault="00565C65" w:rsidP="005D334B">
            <w:pPr>
              <w:numPr>
                <w:ilvl w:val="0"/>
                <w:numId w:val="5"/>
              </w:numPr>
              <w:rPr>
                <w:sz w:val="22"/>
                <w:szCs w:val="22"/>
                <w:lang w:val="en-GB"/>
              </w:rPr>
            </w:pPr>
            <w:r w:rsidRPr="00EF7BD2">
              <w:rPr>
                <w:sz w:val="22"/>
                <w:szCs w:val="22"/>
                <w:lang w:val="en-GB"/>
              </w:rPr>
              <w:t>This job description should be read in conjunction with the School Teachers’ Pay and Conditions Document, which is updated annually and is available from the Headteacher.</w:t>
            </w:r>
          </w:p>
        </w:tc>
      </w:tr>
    </w:tbl>
    <w:p w:rsidR="00F93529" w:rsidRPr="00EF7BD2" w:rsidRDefault="00F93529">
      <w:pPr>
        <w:rPr>
          <w:sz w:val="22"/>
          <w:szCs w:val="22"/>
        </w:rPr>
      </w:pPr>
    </w:p>
    <w:p w:rsidR="00F93529" w:rsidRPr="00EF7BD2" w:rsidRDefault="00F93529">
      <w:pPr>
        <w:rPr>
          <w:b/>
          <w:sz w:val="22"/>
          <w:szCs w:val="22"/>
        </w:rPr>
      </w:pPr>
    </w:p>
    <w:p w:rsidR="00603CEB" w:rsidRPr="00EF7BD2" w:rsidRDefault="00603CEB">
      <w:pPr>
        <w:rPr>
          <w:b/>
          <w:sz w:val="22"/>
          <w:szCs w:val="22"/>
        </w:rPr>
      </w:pPr>
    </w:p>
    <w:p w:rsidR="00603CEB" w:rsidRPr="00EF7BD2" w:rsidRDefault="00603CEB">
      <w:pPr>
        <w:rPr>
          <w:b/>
          <w:sz w:val="22"/>
          <w:szCs w:val="22"/>
        </w:rPr>
      </w:pPr>
    </w:p>
    <w:p w:rsidR="00603CEB" w:rsidRPr="00EF7BD2" w:rsidRDefault="00603CEB">
      <w:pPr>
        <w:rPr>
          <w:b/>
          <w:sz w:val="22"/>
          <w:szCs w:val="22"/>
        </w:rPr>
      </w:pPr>
    </w:p>
    <w:p w:rsidR="00603CEB" w:rsidRPr="00EF7BD2" w:rsidRDefault="00603CEB">
      <w:pPr>
        <w:rPr>
          <w:b/>
          <w:sz w:val="22"/>
          <w:szCs w:val="22"/>
        </w:rPr>
      </w:pPr>
    </w:p>
    <w:p w:rsidR="00603CEB" w:rsidRPr="00EF7BD2" w:rsidRDefault="00603CEB">
      <w:pPr>
        <w:rPr>
          <w:b/>
          <w:sz w:val="22"/>
          <w:szCs w:val="22"/>
        </w:rPr>
      </w:pPr>
    </w:p>
    <w:p w:rsidR="00603CEB" w:rsidRPr="00EF7BD2" w:rsidRDefault="00603CEB" w:rsidP="00603CEB">
      <w:pPr>
        <w:jc w:val="both"/>
        <w:rPr>
          <w:b/>
          <w:sz w:val="22"/>
          <w:szCs w:val="22"/>
        </w:rPr>
      </w:pPr>
      <w:r w:rsidRPr="00EF7BD2">
        <w:rPr>
          <w:b/>
          <w:sz w:val="22"/>
          <w:szCs w:val="22"/>
        </w:rPr>
        <w:t xml:space="preserve">Person specification: </w:t>
      </w:r>
    </w:p>
    <w:p w:rsidR="00603CEB" w:rsidRPr="00EF7BD2" w:rsidRDefault="00603CEB" w:rsidP="00603CEB">
      <w:pPr>
        <w:jc w:val="both"/>
        <w:rPr>
          <w:b/>
          <w:sz w:val="22"/>
          <w:szCs w:val="22"/>
        </w:rPr>
      </w:pPr>
    </w:p>
    <w:p w:rsidR="00603CEB" w:rsidRPr="00EF7BD2" w:rsidRDefault="00603CEB" w:rsidP="00603CEB">
      <w:pPr>
        <w:jc w:val="both"/>
        <w:rPr>
          <w:b/>
          <w:sz w:val="22"/>
          <w:szCs w:val="22"/>
        </w:rPr>
      </w:pPr>
      <w:r w:rsidRPr="00EF7BD2">
        <w:rPr>
          <w:b/>
          <w:sz w:val="22"/>
          <w:szCs w:val="22"/>
        </w:rPr>
        <w:t>The successful applicant will be:</w:t>
      </w:r>
    </w:p>
    <w:p w:rsidR="00603CEB" w:rsidRPr="00EF7BD2" w:rsidRDefault="00603CEB" w:rsidP="00603CEB">
      <w:pPr>
        <w:jc w:val="both"/>
        <w:rPr>
          <w:sz w:val="22"/>
          <w:szCs w:val="22"/>
        </w:rPr>
      </w:pPr>
    </w:p>
    <w:p w:rsidR="00603CEB" w:rsidRPr="00EF7BD2" w:rsidRDefault="00603CEB" w:rsidP="00603CEB">
      <w:pPr>
        <w:numPr>
          <w:ilvl w:val="0"/>
          <w:numId w:val="6"/>
        </w:numPr>
        <w:jc w:val="both"/>
        <w:rPr>
          <w:sz w:val="22"/>
          <w:szCs w:val="22"/>
        </w:rPr>
      </w:pPr>
      <w:r w:rsidRPr="00EF7BD2">
        <w:rPr>
          <w:sz w:val="22"/>
          <w:szCs w:val="22"/>
        </w:rPr>
        <w:t>An experienced and strong classroom practitioner, willing and able to communicate clearly about pedagogy and the craft of the classroom.</w:t>
      </w:r>
    </w:p>
    <w:p w:rsidR="00603CEB" w:rsidRPr="00EF7BD2" w:rsidRDefault="00603CEB" w:rsidP="00603CEB">
      <w:pPr>
        <w:jc w:val="both"/>
        <w:rPr>
          <w:sz w:val="22"/>
          <w:szCs w:val="22"/>
        </w:rPr>
      </w:pPr>
    </w:p>
    <w:p w:rsidR="00603CEB" w:rsidRPr="00EF7BD2" w:rsidRDefault="00603CEB" w:rsidP="00603CEB">
      <w:pPr>
        <w:numPr>
          <w:ilvl w:val="0"/>
          <w:numId w:val="6"/>
        </w:numPr>
        <w:jc w:val="both"/>
        <w:rPr>
          <w:sz w:val="22"/>
          <w:szCs w:val="22"/>
        </w:rPr>
      </w:pPr>
      <w:r w:rsidRPr="00EF7BD2">
        <w:rPr>
          <w:sz w:val="22"/>
          <w:szCs w:val="22"/>
        </w:rPr>
        <w:t>Able to evidence a good understanding of all aspects of promoting Mathematics in the school.</w:t>
      </w:r>
    </w:p>
    <w:p w:rsidR="00603CEB" w:rsidRPr="00EF7BD2" w:rsidRDefault="00603CEB" w:rsidP="00603CEB">
      <w:pPr>
        <w:pStyle w:val="ListParagraph"/>
        <w:rPr>
          <w:sz w:val="22"/>
          <w:szCs w:val="22"/>
        </w:rPr>
      </w:pPr>
    </w:p>
    <w:p w:rsidR="00603CEB" w:rsidRPr="00EF7BD2" w:rsidRDefault="00603CEB" w:rsidP="00603CEB">
      <w:pPr>
        <w:numPr>
          <w:ilvl w:val="0"/>
          <w:numId w:val="6"/>
        </w:numPr>
        <w:jc w:val="both"/>
        <w:rPr>
          <w:sz w:val="22"/>
          <w:szCs w:val="22"/>
        </w:rPr>
      </w:pPr>
      <w:r w:rsidRPr="00EF7BD2">
        <w:rPr>
          <w:sz w:val="22"/>
          <w:szCs w:val="22"/>
        </w:rPr>
        <w:t>Someone with high levels of emotional intelligence.</w:t>
      </w:r>
    </w:p>
    <w:p w:rsidR="00603CEB" w:rsidRPr="00EF7BD2" w:rsidRDefault="00603CEB" w:rsidP="00603CEB">
      <w:pPr>
        <w:ind w:left="360"/>
        <w:jc w:val="both"/>
        <w:rPr>
          <w:sz w:val="22"/>
          <w:szCs w:val="22"/>
        </w:rPr>
      </w:pPr>
    </w:p>
    <w:p w:rsidR="00603CEB" w:rsidRPr="00EF7BD2" w:rsidRDefault="00603CEB" w:rsidP="00603CEB">
      <w:pPr>
        <w:numPr>
          <w:ilvl w:val="0"/>
          <w:numId w:val="6"/>
        </w:numPr>
        <w:jc w:val="both"/>
        <w:rPr>
          <w:sz w:val="22"/>
          <w:szCs w:val="22"/>
        </w:rPr>
      </w:pPr>
      <w:r w:rsidRPr="00EF7BD2">
        <w:rPr>
          <w:sz w:val="22"/>
          <w:szCs w:val="22"/>
        </w:rPr>
        <w:t>Able to communicate effectively with professional colleagues both within the department and beyond.</w:t>
      </w:r>
    </w:p>
    <w:p w:rsidR="00603CEB" w:rsidRPr="00EF7BD2" w:rsidRDefault="00603CEB" w:rsidP="00603CEB">
      <w:pPr>
        <w:jc w:val="both"/>
        <w:rPr>
          <w:sz w:val="22"/>
          <w:szCs w:val="22"/>
        </w:rPr>
      </w:pPr>
    </w:p>
    <w:p w:rsidR="00603CEB" w:rsidRPr="00EF7BD2" w:rsidRDefault="00603CEB" w:rsidP="00603CEB">
      <w:pPr>
        <w:numPr>
          <w:ilvl w:val="0"/>
          <w:numId w:val="6"/>
        </w:numPr>
        <w:jc w:val="both"/>
        <w:rPr>
          <w:sz w:val="22"/>
          <w:szCs w:val="22"/>
        </w:rPr>
      </w:pPr>
      <w:r w:rsidRPr="00EF7BD2">
        <w:rPr>
          <w:sz w:val="22"/>
          <w:szCs w:val="22"/>
        </w:rPr>
        <w:t xml:space="preserve">Someone with high levels of professional </w:t>
      </w:r>
      <w:proofErr w:type="spellStart"/>
      <w:r w:rsidRPr="00EF7BD2">
        <w:rPr>
          <w:sz w:val="22"/>
          <w:szCs w:val="22"/>
        </w:rPr>
        <w:t>organisational</w:t>
      </w:r>
      <w:proofErr w:type="spellEnd"/>
      <w:r w:rsidRPr="00EF7BD2">
        <w:rPr>
          <w:sz w:val="22"/>
          <w:szCs w:val="22"/>
        </w:rPr>
        <w:t xml:space="preserve"> skills and the ability to meet deadlines.</w:t>
      </w:r>
    </w:p>
    <w:p w:rsidR="00603CEB" w:rsidRPr="00EF7BD2" w:rsidRDefault="00603CEB" w:rsidP="00603CEB">
      <w:pPr>
        <w:jc w:val="both"/>
        <w:rPr>
          <w:sz w:val="22"/>
          <w:szCs w:val="22"/>
        </w:rPr>
      </w:pPr>
    </w:p>
    <w:p w:rsidR="00603CEB" w:rsidRPr="00EF7BD2" w:rsidRDefault="00603CEB" w:rsidP="00603CEB">
      <w:pPr>
        <w:jc w:val="both"/>
        <w:rPr>
          <w:sz w:val="22"/>
          <w:szCs w:val="22"/>
        </w:rPr>
      </w:pPr>
      <w:r w:rsidRPr="00EF7BD2">
        <w:rPr>
          <w:sz w:val="22"/>
          <w:szCs w:val="22"/>
        </w:rPr>
        <w:t>5.   Committed to his or her own personal professional development and to that of others.</w:t>
      </w:r>
    </w:p>
    <w:p w:rsidR="00603CEB" w:rsidRPr="00EF7BD2" w:rsidRDefault="00603CEB" w:rsidP="00603CEB">
      <w:pPr>
        <w:rPr>
          <w:sz w:val="22"/>
          <w:szCs w:val="22"/>
        </w:rPr>
      </w:pPr>
    </w:p>
    <w:p w:rsidR="00603CEB" w:rsidRPr="00EF7BD2" w:rsidRDefault="00603CEB">
      <w:pPr>
        <w:rPr>
          <w:b/>
          <w:sz w:val="22"/>
          <w:szCs w:val="22"/>
        </w:rPr>
      </w:pPr>
    </w:p>
    <w:p w:rsidR="00603CEB" w:rsidRPr="00EF7BD2" w:rsidRDefault="00603CEB">
      <w:pPr>
        <w:rPr>
          <w:b/>
          <w:sz w:val="22"/>
          <w:szCs w:val="22"/>
        </w:rPr>
      </w:pPr>
    </w:p>
    <w:p w:rsidR="00603CEB" w:rsidRPr="00EF7BD2" w:rsidRDefault="008F081A">
      <w:pPr>
        <w:rPr>
          <w:b/>
          <w:sz w:val="22"/>
          <w:szCs w:val="22"/>
        </w:rPr>
      </w:pPr>
      <w:r>
        <w:rPr>
          <w:b/>
          <w:sz w:val="22"/>
          <w:szCs w:val="22"/>
        </w:rPr>
        <w:t>December</w:t>
      </w:r>
      <w:bookmarkStart w:id="0" w:name="_GoBack"/>
      <w:bookmarkEnd w:id="0"/>
      <w:r w:rsidR="007379D0">
        <w:rPr>
          <w:b/>
          <w:sz w:val="22"/>
          <w:szCs w:val="22"/>
        </w:rPr>
        <w:t xml:space="preserve"> 2017</w:t>
      </w:r>
    </w:p>
    <w:sectPr w:rsidR="00603CEB" w:rsidRPr="00EF7BD2" w:rsidSect="00D74E74">
      <w:pgSz w:w="12240" w:h="15840"/>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E292D"/>
    <w:multiLevelType w:val="hybridMultilevel"/>
    <w:tmpl w:val="CF2A0462"/>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78A35B8"/>
    <w:multiLevelType w:val="hybridMultilevel"/>
    <w:tmpl w:val="2E5255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3604585"/>
    <w:multiLevelType w:val="hybridMultilevel"/>
    <w:tmpl w:val="69880A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620215C"/>
    <w:multiLevelType w:val="hybridMultilevel"/>
    <w:tmpl w:val="F306BD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A3144C"/>
    <w:multiLevelType w:val="hybridMultilevel"/>
    <w:tmpl w:val="D35851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7B11E1A"/>
    <w:multiLevelType w:val="hybridMultilevel"/>
    <w:tmpl w:val="FF24B3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29"/>
    <w:rsid w:val="000F59A9"/>
    <w:rsid w:val="00251F89"/>
    <w:rsid w:val="002D5DC1"/>
    <w:rsid w:val="00471BDB"/>
    <w:rsid w:val="00565C65"/>
    <w:rsid w:val="005914C5"/>
    <w:rsid w:val="005D334B"/>
    <w:rsid w:val="00603CEB"/>
    <w:rsid w:val="006C57BE"/>
    <w:rsid w:val="007379D0"/>
    <w:rsid w:val="008B41DA"/>
    <w:rsid w:val="008F081A"/>
    <w:rsid w:val="009E5194"/>
    <w:rsid w:val="00A03DB8"/>
    <w:rsid w:val="00A6689C"/>
    <w:rsid w:val="00AC6365"/>
    <w:rsid w:val="00B55BB0"/>
    <w:rsid w:val="00C27C1E"/>
    <w:rsid w:val="00C40434"/>
    <w:rsid w:val="00D74E74"/>
    <w:rsid w:val="00DC0FF2"/>
    <w:rsid w:val="00E22509"/>
    <w:rsid w:val="00EF7BD2"/>
    <w:rsid w:val="00F068E7"/>
    <w:rsid w:val="00F93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13E2C"/>
  <w15:docId w15:val="{D3E1F253-B689-4FE0-AF00-34604FB4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52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3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74E74"/>
    <w:rPr>
      <w:rFonts w:ascii="Tahoma" w:hAnsi="Tahoma" w:cs="Tahoma"/>
      <w:sz w:val="16"/>
      <w:szCs w:val="16"/>
    </w:rPr>
  </w:style>
  <w:style w:type="paragraph" w:styleId="ListParagraph">
    <w:name w:val="List Paragraph"/>
    <w:basedOn w:val="Normal"/>
    <w:uiPriority w:val="34"/>
    <w:qFormat/>
    <w:rsid w:val="00603CEB"/>
    <w:pPr>
      <w:ind w:left="720"/>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Curriculum Area Responsibility: Maths</vt:lpstr>
    </vt:vector>
  </TitlesOfParts>
  <Company>PARK HIGH SCHOOL</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Area Responsibility: Maths</dc:title>
  <dc:creator>Tony.Barnes</dc:creator>
  <cp:lastModifiedBy>Malone, Sharon</cp:lastModifiedBy>
  <cp:revision>4</cp:revision>
  <cp:lastPrinted>2014-06-24T07:26:00Z</cp:lastPrinted>
  <dcterms:created xsi:type="dcterms:W3CDTF">2017-05-24T07:42:00Z</dcterms:created>
  <dcterms:modified xsi:type="dcterms:W3CDTF">2018-01-05T08:31:00Z</dcterms:modified>
</cp:coreProperties>
</file>