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color w:val="333399"/>
          <w:sz w:val="22"/>
          <w:szCs w:val="22"/>
        </w:rPr>
      </w:pPr>
      <w:r w:rsidDel="00000000" w:rsidR="00000000" w:rsidRPr="00000000">
        <w:rPr>
          <w:color w:val="333399"/>
          <w:sz w:val="22"/>
          <w:szCs w:val="22"/>
          <w:rtl w:val="0"/>
        </w:rPr>
        <w:t xml:space="preserve">Job Description</w:t>
      </w:r>
    </w:p>
    <w:p w:rsidR="00000000" w:rsidDel="00000000" w:rsidP="00000000" w:rsidRDefault="00000000" w:rsidRPr="00000000" w14:paraId="00000002">
      <w:pPr>
        <w:pageBreakBefore w:val="0"/>
        <w:jc w:val="center"/>
        <w:rPr>
          <w:rFonts w:ascii="Arial" w:cs="Arial" w:eastAsia="Arial" w:hAnsi="Arial"/>
          <w:b w:val="1"/>
          <w:sz w:val="22"/>
          <w:szCs w:val="22"/>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Procurement Manager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HFCMAT - Central Finance Team</w:t>
            </w:r>
          </w:p>
        </w:tc>
      </w:tr>
      <w:tr>
        <w:trPr>
          <w:cantSplit w:val="0"/>
          <w:trHeight w:val="510"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HFCMAT CFO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PO1 SCP 27-30 (£33,820-£36,298)</w:t>
            </w:r>
          </w:p>
          <w:p w:rsidR="00000000" w:rsidDel="00000000" w:rsidP="00000000" w:rsidRDefault="00000000" w:rsidRPr="00000000" w14:paraId="0000000C">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permanent, full-time contract </w:t>
            </w:r>
          </w:p>
        </w:tc>
      </w:tr>
    </w:tbl>
    <w:p w:rsidR="00000000" w:rsidDel="00000000" w:rsidP="00000000" w:rsidRDefault="00000000" w:rsidRPr="00000000" w14:paraId="0000000D">
      <w:pPr>
        <w:pageBreakBefore w:val="0"/>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0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lead an effective procurement function for Holy Family Catholic Multi Academy Trust.</w:t>
            </w:r>
          </w:p>
        </w:tc>
      </w:tr>
    </w:tbl>
    <w:p w:rsidR="00000000" w:rsidDel="00000000" w:rsidP="00000000" w:rsidRDefault="00000000" w:rsidRPr="00000000" w14:paraId="00000010">
      <w:pPr>
        <w:pageBreakBefore w:val="0"/>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1">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systems are in place so the Trust achieves value for money through compliant procurement and maximise buying power and economies and benefits of scale.</w:t>
            </w:r>
            <w:r w:rsidDel="00000000" w:rsidR="00000000" w:rsidRPr="00000000">
              <w:rPr>
                <w:rtl w:val="0"/>
              </w:rPr>
            </w:r>
          </w:p>
          <w:p w:rsidR="00000000" w:rsidDel="00000000" w:rsidP="00000000" w:rsidRDefault="00000000" w:rsidRPr="00000000" w14:paraId="0000001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a procurement and tendering policy.</w:t>
            </w:r>
          </w:p>
          <w:p w:rsidR="00000000" w:rsidDel="00000000" w:rsidP="00000000" w:rsidRDefault="00000000" w:rsidRPr="00000000" w14:paraId="0000001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a high level of procurement and purchasing support to the schools within the Trust.</w:t>
            </w:r>
            <w:r w:rsidDel="00000000" w:rsidR="00000000" w:rsidRPr="00000000">
              <w:rPr>
                <w:rtl w:val="0"/>
              </w:rPr>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and operate a 5 year procurement plan.</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 contracts across the Trust, holding suppliers to account using KPIs and customer requirements, ensuring suppliers deliver value for money for our schools.</w:t>
            </w:r>
            <w:r w:rsidDel="00000000" w:rsidR="00000000" w:rsidRPr="00000000">
              <w:rPr>
                <w:rtl w:val="0"/>
              </w:rPr>
            </w:r>
          </w:p>
          <w:p w:rsidR="00000000" w:rsidDel="00000000" w:rsidP="00000000" w:rsidRDefault="00000000" w:rsidRPr="00000000" w14:paraId="00000017">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the Trust’s contract register to accurately record the status of all contracts held and review these schedules for renewal to support the Trusts strategic priorities.</w:t>
            </w:r>
          </w:p>
          <w:p w:rsidR="00000000" w:rsidDel="00000000" w:rsidP="00000000" w:rsidRDefault="00000000" w:rsidRPr="00000000" w14:paraId="0000001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 strategic supplier relationship management to identify performance improvements.</w:t>
            </w:r>
            <w:r w:rsidDel="00000000" w:rsidR="00000000" w:rsidRPr="00000000">
              <w:rPr>
                <w:rtl w:val="0"/>
              </w:rPr>
            </w:r>
          </w:p>
          <w:p w:rsidR="00000000" w:rsidDel="00000000" w:rsidP="00000000" w:rsidRDefault="00000000" w:rsidRPr="00000000" w14:paraId="00000019">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Create and implement clear strategies for buying goods and services that are in line with the Trust’s wider objectives and goals.</w:t>
            </w:r>
            <w:r w:rsidDel="00000000" w:rsidR="00000000" w:rsidRPr="00000000">
              <w:rPr>
                <w:rtl w:val="0"/>
              </w:rPr>
            </w:r>
          </w:p>
          <w:p w:rsidR="00000000" w:rsidDel="00000000" w:rsidP="00000000" w:rsidRDefault="00000000" w:rsidRPr="00000000" w14:paraId="0000001A">
            <w:pPr>
              <w:numPr>
                <w:ilvl w:val="0"/>
                <w:numId w:val="2"/>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To provide an effective procurement function for Holy Family Catholic Multi Academy Trust, providing governance, advice and guidance to colleagues engaging in procurement activity</w:t>
            </w:r>
            <w:r w:rsidDel="00000000" w:rsidR="00000000" w:rsidRPr="00000000">
              <w:rPr>
                <w:rtl w:val="0"/>
              </w:rPr>
            </w:r>
          </w:p>
          <w:p w:rsidR="00000000" w:rsidDel="00000000" w:rsidP="00000000" w:rsidRDefault="00000000" w:rsidRPr="00000000" w14:paraId="0000001B">
            <w:pPr>
              <w:numPr>
                <w:ilvl w:val="0"/>
                <w:numId w:val="2"/>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To provide contract management advice to the organisation, ensuring that arrangements are in place for effective contract management.</w:t>
            </w:r>
            <w:r w:rsidDel="00000000" w:rsidR="00000000" w:rsidRPr="00000000">
              <w:rPr>
                <w:rtl w:val="0"/>
              </w:rPr>
            </w:r>
          </w:p>
          <w:p w:rsidR="00000000" w:rsidDel="00000000" w:rsidP="00000000" w:rsidRDefault="00000000" w:rsidRPr="00000000" w14:paraId="0000001C">
            <w:pPr>
              <w:numPr>
                <w:ilvl w:val="0"/>
                <w:numId w:val="2"/>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To manage high value/high importance contracts as required to ensure that the Trust meets. its contractual obligations to the Supplier, identify and manage risks that may arise through the operation of the contract and implements robust financial and operational controls.</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Forecast and plan supply requirements.</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 the Trust achieve the best value for money, level of service and quality standards when dealing with vendors and suppliers.</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Make sure that suppliers meet required standards, such as ISO accreditation or having the right insurance cover.</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Make sure the supply chain for your organisation is free from slavery and corruption.</w:t>
            </w:r>
            <w:r w:rsidDel="00000000" w:rsidR="00000000" w:rsidRPr="00000000">
              <w:rPr>
                <w:rtl w:val="0"/>
              </w:rPr>
            </w:r>
          </w:p>
          <w:p w:rsidR="00000000" w:rsidDel="00000000" w:rsidP="00000000" w:rsidRDefault="00000000" w:rsidRPr="00000000" w14:paraId="0000002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long-term, positive relationships with suppliers within the industry.</w:t>
            </w:r>
            <w:r w:rsidDel="00000000" w:rsidR="00000000" w:rsidRPr="00000000">
              <w:rPr>
                <w:rtl w:val="0"/>
              </w:rPr>
            </w:r>
          </w:p>
          <w:p w:rsidR="00000000" w:rsidDel="00000000" w:rsidP="00000000" w:rsidRDefault="00000000" w:rsidRPr="00000000" w14:paraId="0000002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Compare costs and specifications in the proposals that suppliers and vendors send.</w:t>
            </w:r>
            <w:r w:rsidDel="00000000" w:rsidR="00000000" w:rsidRPr="00000000">
              <w:rPr>
                <w:rtl w:val="0"/>
              </w:rPr>
            </w:r>
          </w:p>
          <w:p w:rsidR="00000000" w:rsidDel="00000000" w:rsidP="00000000" w:rsidRDefault="00000000" w:rsidRPr="00000000" w14:paraId="0000002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contracts with suppliers and vendors on behalf of the Trust.</w:t>
            </w:r>
            <w:r w:rsidDel="00000000" w:rsidR="00000000" w:rsidRPr="00000000">
              <w:rPr>
                <w:rtl w:val="0"/>
              </w:rPr>
            </w:r>
          </w:p>
          <w:p w:rsidR="00000000" w:rsidDel="00000000" w:rsidP="00000000" w:rsidRDefault="00000000" w:rsidRPr="00000000" w14:paraId="0000002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Look for ways to improve procurement processes, making them more efficient and transparent.</w:t>
            </w:r>
            <w:r w:rsidDel="00000000" w:rsidR="00000000" w:rsidRPr="00000000">
              <w:rPr>
                <w:rtl w:val="0"/>
              </w:rPr>
            </w:r>
          </w:p>
          <w:p w:rsidR="00000000" w:rsidDel="00000000" w:rsidP="00000000" w:rsidRDefault="00000000" w:rsidRPr="00000000" w14:paraId="0000002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Produce regular procurement reports to share with other people within the Trust.</w:t>
            </w:r>
            <w:r w:rsidDel="00000000" w:rsidR="00000000" w:rsidRPr="00000000">
              <w:rPr>
                <w:rtl w:val="0"/>
              </w:rPr>
            </w:r>
          </w:p>
          <w:p w:rsidR="00000000" w:rsidDel="00000000" w:rsidP="00000000" w:rsidRDefault="00000000" w:rsidRPr="00000000" w14:paraId="0000002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up to date with industry trends.</w:t>
            </w:r>
            <w:r w:rsidDel="00000000" w:rsidR="00000000" w:rsidRPr="00000000">
              <w:rPr>
                <w:rtl w:val="0"/>
              </w:rPr>
            </w:r>
          </w:p>
          <w:p w:rsidR="00000000" w:rsidDel="00000000" w:rsidP="00000000" w:rsidRDefault="00000000" w:rsidRPr="00000000" w14:paraId="0000002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Negotiate and agree terms with new and existing suppliers, ensuring purchasing is compliant and timely.</w:t>
            </w:r>
            <w:r w:rsidDel="00000000" w:rsidR="00000000" w:rsidRPr="00000000">
              <w:rPr>
                <w:rtl w:val="0"/>
              </w:rPr>
            </w:r>
          </w:p>
          <w:p w:rsidR="00000000" w:rsidDel="00000000" w:rsidP="00000000" w:rsidRDefault="00000000" w:rsidRPr="00000000" w14:paraId="0000002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accurate, professional and expert advice and guidance across the Trust on all procurement related matters.</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Interpret and implement the advice of experts in relation to procurement, getting input from a wide variety of sources in order to support decision making.</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a lead or support in the change management process arising from the appointment of new suppliers.</w:t>
            </w:r>
            <w:r w:rsidDel="00000000" w:rsidR="00000000" w:rsidRPr="00000000">
              <w:rPr>
                <w:rtl w:val="0"/>
              </w:rPr>
            </w:r>
          </w:p>
          <w:p w:rsidR="00000000" w:rsidDel="00000000" w:rsidP="00000000" w:rsidRDefault="00000000" w:rsidRPr="00000000" w14:paraId="0000002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Actively seek out and capitalise on, procurement opportunities, creating economies and benefits of scale across the Trust.</w:t>
            </w:r>
            <w:r w:rsidDel="00000000" w:rsidR="00000000" w:rsidRPr="00000000">
              <w:rPr>
                <w:rtl w:val="0"/>
              </w:rPr>
            </w:r>
          </w:p>
          <w:p w:rsidR="00000000" w:rsidDel="00000000" w:rsidP="00000000" w:rsidRDefault="00000000" w:rsidRPr="00000000" w14:paraId="0000002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Overseeing the Trust supplier ledger including working with key staff to maintain approved supplier list.</w:t>
            </w:r>
            <w:r w:rsidDel="00000000" w:rsidR="00000000" w:rsidRPr="00000000">
              <w:rPr>
                <w:rtl w:val="0"/>
              </w:rPr>
            </w:r>
          </w:p>
          <w:p w:rsidR="00000000" w:rsidDel="00000000" w:rsidP="00000000" w:rsidRDefault="00000000" w:rsidRPr="00000000" w14:paraId="0000002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implement robust and effective policies, processes, procedures and systems to</w:t>
            </w:r>
          </w:p>
          <w:p w:rsidR="00000000" w:rsidDel="00000000" w:rsidP="00000000" w:rsidRDefault="00000000" w:rsidRPr="00000000" w14:paraId="0000002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support the operational effectiveness of the Trust in relation to procurement and contracting.</w:t>
            </w:r>
          </w:p>
          <w:p w:rsidR="00000000" w:rsidDel="00000000" w:rsidP="00000000" w:rsidRDefault="00000000" w:rsidRPr="00000000" w14:paraId="0000002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Responsible for external procurement related returns such as payment practices return and modern slavery statement.</w:t>
            </w:r>
            <w:r w:rsidDel="00000000" w:rsidR="00000000" w:rsidRPr="00000000">
              <w:rPr>
                <w:rtl w:val="0"/>
              </w:rPr>
            </w:r>
          </w:p>
          <w:p w:rsidR="00000000" w:rsidDel="00000000" w:rsidP="00000000" w:rsidRDefault="00000000" w:rsidRPr="00000000" w14:paraId="0000003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 the procurement strategy across the Trust, supporting individual projects and tenders across the Trust by leading on the procurement process.</w:t>
            </w:r>
            <w:r w:rsidDel="00000000" w:rsidR="00000000" w:rsidRPr="00000000">
              <w:rPr>
                <w:rtl w:val="0"/>
              </w:rPr>
            </w:r>
          </w:p>
          <w:p w:rsidR="00000000" w:rsidDel="00000000" w:rsidP="00000000" w:rsidRDefault="00000000" w:rsidRPr="00000000" w14:paraId="0000003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Providing effective  communication, training, and mentoring to staff on Trust procurement.</w:t>
            </w:r>
            <w:r w:rsidDel="00000000" w:rsidR="00000000" w:rsidRPr="00000000">
              <w:rPr>
                <w:rtl w:val="0"/>
              </w:rPr>
            </w:r>
          </w:p>
          <w:p w:rsidR="00000000" w:rsidDel="00000000" w:rsidP="00000000" w:rsidRDefault="00000000" w:rsidRPr="00000000" w14:paraId="0000003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accurate records using relevant systems in line with policy and records management procedures.</w:t>
            </w:r>
            <w:r w:rsidDel="00000000" w:rsidR="00000000" w:rsidRPr="00000000">
              <w:rPr>
                <w:rtl w:val="0"/>
              </w:rPr>
            </w:r>
          </w:p>
          <w:p w:rsidR="00000000" w:rsidDel="00000000" w:rsidP="00000000" w:rsidRDefault="00000000" w:rsidRPr="00000000" w14:paraId="0000003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 meetings and undertake duties as required in line with Trust calendar, sharing expertise and supporting others.</w:t>
            </w:r>
            <w:r w:rsidDel="00000000" w:rsidR="00000000" w:rsidRPr="00000000">
              <w:rPr>
                <w:rtl w:val="0"/>
              </w:rPr>
            </w:r>
          </w:p>
          <w:p w:rsidR="00000000" w:rsidDel="00000000" w:rsidP="00000000" w:rsidRDefault="00000000" w:rsidRPr="00000000" w14:paraId="0000003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the organisation’s relationship with the Department for Education/Education &amp; Skills</w:t>
            </w: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Funding Agency in respect of procurement and contracts to ensure all appropriate guidance is</w:t>
            </w:r>
          </w:p>
          <w:p w:rsidR="00000000" w:rsidDel="00000000" w:rsidP="00000000" w:rsidRDefault="00000000" w:rsidRPr="00000000" w14:paraId="00000036">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received and attend relevant procurement updates.</w:t>
            </w:r>
          </w:p>
          <w:p w:rsidR="00000000" w:rsidDel="00000000" w:rsidP="00000000" w:rsidRDefault="00000000" w:rsidRPr="00000000" w14:paraId="0000003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Compliance with all aspects of the Academies Trust Handbook in respect of procurement including compliance with related party transactions in relation to procurement.</w:t>
            </w:r>
            <w:r w:rsidDel="00000000" w:rsidR="00000000" w:rsidRPr="00000000">
              <w:rPr>
                <w:rtl w:val="0"/>
              </w:rPr>
            </w:r>
          </w:p>
          <w:p w:rsidR="00000000" w:rsidDel="00000000" w:rsidP="00000000" w:rsidRDefault="00000000" w:rsidRPr="00000000" w14:paraId="00000038">
            <w:pPr>
              <w:numPr>
                <w:ilvl w:val="0"/>
                <w:numId w:val="2"/>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the procurement governance for the Trust ensuring that the organisation works within the legal, regulatory and policy constraints associated with being a public body. This includes ensuring external compliance with UK legislation and regulations as well as adhering to more general public body requirements such as transparency, stewardship and security of funds and other relevant Government guidance and regulations.</w:t>
            </w:r>
          </w:p>
          <w:p w:rsidR="00000000" w:rsidDel="00000000" w:rsidP="00000000" w:rsidRDefault="00000000" w:rsidRPr="00000000" w14:paraId="00000039">
            <w:pPr>
              <w:numPr>
                <w:ilvl w:val="0"/>
                <w:numId w:val="2"/>
              </w:numPr>
              <w:spacing w:after="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all contract terms and conditions, including General Data Protection Regulations and Safeguarding, to ensure the products and services are appropriate for the Trust, including the negotiation of new contract terms if required.</w:t>
            </w:r>
          </w:p>
          <w:p w:rsidR="00000000" w:rsidDel="00000000" w:rsidP="00000000" w:rsidRDefault="00000000" w:rsidRPr="00000000" w14:paraId="0000003A">
            <w:pPr>
              <w:numPr>
                <w:ilvl w:val="0"/>
                <w:numId w:val="2"/>
              </w:numPr>
              <w:spacing w:after="0" w:before="0" w:line="343.2"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Analyse the levels of spend across the Trust and identify areas for savings and efficiencies.</w:t>
            </w:r>
          </w:p>
          <w:p w:rsidR="00000000" w:rsidDel="00000000" w:rsidP="00000000" w:rsidRDefault="00000000" w:rsidRPr="00000000" w14:paraId="0000003B">
            <w:pPr>
              <w:numPr>
                <w:ilvl w:val="0"/>
                <w:numId w:val="2"/>
              </w:numPr>
              <w:spacing w:after="20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Benchmark against comparable organisations in both the public and private sectors on a range of effective performance metrics to enable value for money, good practice and continuous improvements in the Trust.</w:t>
            </w:r>
          </w:p>
          <w:p w:rsidR="00000000" w:rsidDel="00000000" w:rsidP="00000000" w:rsidRDefault="00000000" w:rsidRPr="00000000" w14:paraId="0000003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F">
      <w:pPr>
        <w:pageBreakBefore w:val="0"/>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1074" w:hRule="atLeast"/>
          <w:tblHeader w:val="0"/>
        </w:trPr>
        <w:tc>
          <w:tcPr/>
          <w:p w:rsidR="00000000" w:rsidDel="00000000" w:rsidP="00000000" w:rsidRDefault="00000000" w:rsidRPr="00000000" w14:paraId="00000040">
            <w:pPr>
              <w:spacing w:after="12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1">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procurement manager role is an exciting new role within the Trust. Initially the Procurement Manager will work independently but anticipated Trust growth may result in the expansion of the team.</w:t>
            </w: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3">
      <w:pPr>
        <w:pageBreakBefore w:val="0"/>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4">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5">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6">
      <w:pPr>
        <w:pageBreakBefore w:val="0"/>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7">
            <w:pPr>
              <w:spacing w:after="120" w:before="24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48">
            <w:pPr>
              <w:pStyle w:val="Heading1"/>
              <w:numPr>
                <w:ilvl w:val="0"/>
                <w:numId w:val="3"/>
              </w:numPr>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49">
            <w:pPr>
              <w:pStyle w:val="Heading1"/>
              <w:numPr>
                <w:ilvl w:val="0"/>
                <w:numId w:val="3"/>
              </w:numPr>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Maintain positive, professional relationships with students, parents / carers and teachers.</w:t>
            </w:r>
          </w:p>
          <w:p w:rsidR="00000000" w:rsidDel="00000000" w:rsidP="00000000" w:rsidRDefault="00000000" w:rsidRPr="00000000" w14:paraId="0000004B">
            <w:pPr>
              <w:pStyle w:val="Heading1"/>
              <w:numPr>
                <w:ilvl w:val="0"/>
                <w:numId w:val="3"/>
              </w:numPr>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4C">
            <w:pPr>
              <w:pStyle w:val="Heading1"/>
              <w:numPr>
                <w:ilvl w:val="0"/>
                <w:numId w:val="3"/>
              </w:numPr>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4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4E">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4F">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0">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1">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52">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p w:rsidR="00000000" w:rsidDel="00000000" w:rsidP="00000000" w:rsidRDefault="00000000" w:rsidRPr="00000000" w14:paraId="00000053">
            <w:pPr>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54">
      <w:pPr>
        <w:pageBreakBefore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pageBreakBefore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pStyle w:val="Title"/>
        <w:spacing w:before="30" w:line="276" w:lineRule="auto"/>
        <w:rPr>
          <w:b w:val="0"/>
          <w:sz w:val="22"/>
          <w:szCs w:val="22"/>
        </w:rPr>
      </w:pPr>
      <w:bookmarkStart w:colFirst="0" w:colLast="0" w:name="_heading=h.gjdgxs" w:id="0"/>
      <w:bookmarkEnd w:id="0"/>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r w:rsidDel="00000000" w:rsidR="00000000" w:rsidRPr="00000000">
        <w:rPr>
          <w:rtl w:val="0"/>
        </w:rPr>
      </w:r>
    </w:p>
    <w:p w:rsidR="00000000" w:rsidDel="00000000" w:rsidP="00000000" w:rsidRDefault="00000000" w:rsidRPr="00000000" w14:paraId="00000057">
      <w:pPr>
        <w:pageBreakBefore w:val="0"/>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5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5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5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5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5E">
            <w:pPr>
              <w:spacing w:before="240" w:line="276" w:lineRule="auto"/>
              <w:ind w:left="1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GCSE English and Maths grade C or above</w:t>
            </w:r>
          </w:p>
          <w:p w:rsidR="00000000" w:rsidDel="00000000" w:rsidP="00000000" w:rsidRDefault="00000000" w:rsidRPr="00000000" w14:paraId="0000005F">
            <w:pPr>
              <w:spacing w:before="240" w:line="276" w:lineRule="auto"/>
              <w:ind w:left="1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Chartered Institute of Purchasing and Supply qualification and membership </w:t>
            </w:r>
          </w:p>
          <w:p w:rsidR="00000000" w:rsidDel="00000000" w:rsidP="00000000" w:rsidRDefault="00000000" w:rsidRPr="00000000" w14:paraId="00000060">
            <w:pPr>
              <w:spacing w:before="240" w:line="275"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3">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5">
            <w:pPr>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A">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working in a multi academy trust</w: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contract management (including outsourced services) and delivering value for money</w:t>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 Understanding of procurement regulations, especially those associated with a publicly funded entity</w:t>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spreadsheet packages such as Excel</w:t>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 Proven negotiation skills at all levels, both internal and external</w:t>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to secure best value</w:t>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working with a wide range of stakeholders</w:t>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leading collaborative procurement across multiple sites</w:t>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 Proven track record of successfully managing tendering and contracting processes</w:t>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 Able to work proactively and without direct supervision</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9">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D</w:t>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        E</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A">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4650" w:hRule="atLeast"/>
          <w:tblHeader w:val="0"/>
        </w:trPr>
        <w:tc>
          <w:tcPr>
            <w:shd w:fill="auto" w:val="clear"/>
          </w:tcPr>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sz w:val="22"/>
                <w:szCs w:val="22"/>
                <w:rtl w:val="0"/>
              </w:rPr>
              <w:t xml:space="preserve">• In-depth specialist knowledge of procurement procedures including knowledge of Public Contract Regulations 2015</w:t>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 Commercial and financial awareness</w:t>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sz w:val="22"/>
                <w:szCs w:val="22"/>
                <w:rtl w:val="0"/>
              </w:rPr>
              <w:t xml:space="preserve">• Strong working knowledge of the Academies Financial Handbook</w:t>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t xml:space="preserve">• Excellent verbal, written, numeric reasoning and communication skills</w:t>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 Proven ability to work accurately, demonstrating excellent attention to detail</w:t>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 Strong communication and interpersonal skills – both in person, on the telephone and written</w:t>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negotiate, hold to account and influence</w:t>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lead change</w:t>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manage projects</w:t>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sz w:val="22"/>
                <w:szCs w:val="22"/>
                <w:rtl w:val="0"/>
              </w:rPr>
              <w:t xml:space="preserve">• Excellent ICT skills, proven ability to use a variety of packages effectively</w:t>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 Able to communicate effectively with a range of audiences</w:t>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 An analytical mind with problem solving skills</w:t>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work to timetables, prioritise key deliverables and ensure deliver to set deadlines</w:t>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make decisions, as well as to think strategically and laterally</w:t>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deal with demanding situations and resolve conflict</w:t>
            </w:r>
          </w:p>
        </w:tc>
        <w:tc>
          <w:tcPr>
            <w:shd w:fill="auto" w:val="clear"/>
          </w:tcPr>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A, I, R</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D9">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A">
      <w:pPr>
        <w:pageBreakBefore w:val="0"/>
        <w:spacing w:after="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B">
      <w:pPr>
        <w:pageBreakBefore w:val="0"/>
        <w:spacing w:after="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D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D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D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D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Gg0Le3ikx7NgPIng3XuzB2RbQQ==">AMUW2mX5rb7BMFDY7CA698RvbPRJVFgpeSJNkr7IyGO333wmZ//F+1ANf6qihBXc4wJUJPND4tZ3ogyhcLvomG4GQYZqFlmp0Z+N/C/ySxvXlbGRDI6ELg41mhaCim3d2pXrSWvuKvB5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