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lang w:eastAsia="en-GB"/>
        </w:rPr>
      </w:pPr>
      <w:r>
        <w:rPr>
          <w:noProof/>
          <w:lang w:eastAsia="en-GB"/>
        </w:rPr>
        <w:drawing>
          <wp:inline distT="0" distB="0" distL="0" distR="0">
            <wp:extent cx="1327150" cy="47924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jun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455" cy="490191"/>
                    </a:xfrm>
                    <a:prstGeom prst="rect">
                      <a:avLst/>
                    </a:prstGeom>
                  </pic:spPr>
                </pic:pic>
              </a:graphicData>
            </a:graphic>
          </wp:inline>
        </w:drawing>
      </w:r>
    </w:p>
    <w:p>
      <w:pPr>
        <w:jc w:val="center"/>
        <w:rPr>
          <w:lang w:eastAsia="en-GB"/>
        </w:rPr>
      </w:pPr>
      <w:bookmarkStart w:id="0" w:name="_GoBack"/>
      <w:bookmarkEnd w:id="0"/>
    </w:p>
    <w:p>
      <w:pPr>
        <w:jc w:val="center"/>
        <w:rPr>
          <w:b/>
          <w:lang w:eastAsia="en-GB"/>
        </w:rPr>
      </w:pPr>
      <w:r>
        <w:rPr>
          <w:b/>
          <w:lang w:eastAsia="en-GB"/>
        </w:rPr>
        <w:t>PRIVATE AND CONFIDENTIAL DISCLOSURE OF CRIMINAL RECORD</w:t>
      </w:r>
    </w:p>
    <w:p>
      <w:pPr>
        <w:rPr>
          <w:lang w:eastAsia="en-GB"/>
        </w:rPr>
      </w:pPr>
    </w:p>
    <w:p>
      <w:pPr>
        <w:rPr>
          <w:lang w:eastAsia="en-GB"/>
        </w:rPr>
      </w:pPr>
      <w:r>
        <w:rPr>
          <w:lang w:eastAsia="en-GB"/>
        </w:rPr>
        <w:t>Please read the information below before completing the form. The completed form must be brought to your interview for the post of</w:t>
      </w:r>
      <w:r>
        <w:rPr>
          <w:i/>
          <w:color w:val="C0C0C0"/>
          <w:sz w:val="16"/>
          <w:szCs w:val="16"/>
          <w:lang w:eastAsia="en-GB"/>
        </w:rPr>
        <w:t xml:space="preserve"> </w:t>
      </w:r>
      <w:r>
        <w:rPr>
          <w:i/>
          <w:sz w:val="16"/>
          <w:szCs w:val="16"/>
          <w:lang w:eastAsia="en-GB"/>
        </w:rPr>
        <w:t>(job</w:t>
      </w:r>
      <w:proofErr w:type="gramStart"/>
      <w:r>
        <w:rPr>
          <w:i/>
          <w:sz w:val="16"/>
          <w:szCs w:val="16"/>
          <w:lang w:eastAsia="en-GB"/>
        </w:rPr>
        <w:t>)</w:t>
      </w:r>
      <w:r>
        <w:rPr>
          <w:lang w:eastAsia="en-GB"/>
        </w:rPr>
        <w:t>_</w:t>
      </w:r>
      <w:proofErr w:type="gramEnd"/>
      <w:r>
        <w:rPr>
          <w:lang w:eastAsia="en-GB"/>
        </w:rPr>
        <w:t xml:space="preserve">____________ on </w:t>
      </w:r>
      <w:r>
        <w:rPr>
          <w:sz w:val="16"/>
          <w:szCs w:val="16"/>
          <w:lang w:eastAsia="en-GB"/>
        </w:rPr>
        <w:t>(</w:t>
      </w:r>
      <w:r>
        <w:rPr>
          <w:i/>
          <w:sz w:val="16"/>
          <w:szCs w:val="16"/>
          <w:lang w:eastAsia="en-GB"/>
        </w:rPr>
        <w:t>date</w:t>
      </w:r>
      <w:r>
        <w:rPr>
          <w:sz w:val="16"/>
          <w:szCs w:val="16"/>
          <w:lang w:eastAsia="en-GB"/>
        </w:rPr>
        <w:t>)</w:t>
      </w:r>
      <w:r>
        <w:rPr>
          <w:lang w:eastAsia="en-GB"/>
        </w:rPr>
        <w:t xml:space="preserve">____________________and given to </w:t>
      </w:r>
      <w:r>
        <w:rPr>
          <w:sz w:val="16"/>
          <w:szCs w:val="16"/>
          <w:lang w:eastAsia="en-GB"/>
        </w:rPr>
        <w:t>(</w:t>
      </w:r>
      <w:r>
        <w:rPr>
          <w:i/>
          <w:sz w:val="16"/>
          <w:szCs w:val="16"/>
          <w:lang w:eastAsia="en-GB"/>
        </w:rPr>
        <w:t>name)</w:t>
      </w:r>
      <w:r>
        <w:rPr>
          <w:lang w:eastAsia="en-GB"/>
        </w:rPr>
        <w:t xml:space="preserve">  _______________________ in a sealed envelope.</w:t>
      </w:r>
    </w:p>
    <w:p>
      <w:pPr>
        <w:rPr>
          <w:sz w:val="18"/>
          <w:szCs w:val="18"/>
          <w:lang w:eastAsia="en-GB"/>
        </w:rPr>
      </w:pPr>
    </w:p>
    <w:p>
      <w:pPr>
        <w:pStyle w:val="Default"/>
        <w:rPr>
          <w:sz w:val="18"/>
          <w:szCs w:val="18"/>
        </w:rPr>
      </w:pPr>
      <w:r>
        <w:rPr>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Pr>
          <w:b/>
          <w:sz w:val="18"/>
          <w:szCs w:val="18"/>
        </w:rPr>
        <w:t>except</w:t>
      </w:r>
      <w:r>
        <w:rPr>
          <w:sz w:val="18"/>
          <w:szCs w:val="18"/>
        </w:rPr>
        <w:t xml:space="preserve"> those which are ‘protected’ under Police Act 1997 – Part V and the amendments to the Exceptions Order 1975 (2013) and are not subject to disclosure to employers on DBS certificates and cannot be taken into </w:t>
      </w:r>
      <w:proofErr w:type="gramStart"/>
      <w:r>
        <w:rPr>
          <w:sz w:val="18"/>
          <w:szCs w:val="18"/>
        </w:rPr>
        <w:t>account .</w:t>
      </w:r>
      <w:proofErr w:type="gramEnd"/>
      <w:r>
        <w:rPr>
          <w:sz w:val="18"/>
          <w:szCs w:val="18"/>
        </w:rPr>
        <w:t xml:space="preserve">  Guidance on the filtering of “protected” cautions and convictions which do not need to be disclosed by a job applicant can be found on the </w:t>
      </w:r>
      <w:hyperlink r:id="rId8" w:history="1">
        <w:r>
          <w:rPr>
            <w:rStyle w:val="Hyperlink"/>
            <w:rFonts w:cs="Arial"/>
            <w:color w:val="0077C8"/>
            <w:sz w:val="18"/>
            <w:szCs w:val="18"/>
            <w:u w:val="none"/>
          </w:rPr>
          <w:t>Disclosure and Barring Service website</w:t>
        </w:r>
      </w:hyperlink>
      <w:r>
        <w:rPr>
          <w:color w:val="0077C8"/>
          <w:sz w:val="18"/>
          <w:szCs w:val="18"/>
        </w:rPr>
        <w:t>.</w:t>
      </w:r>
    </w:p>
    <w:p>
      <w:pPr>
        <w:pStyle w:val="Default"/>
        <w:rPr>
          <w:sz w:val="18"/>
          <w:szCs w:val="18"/>
        </w:rPr>
      </w:pPr>
    </w:p>
    <w:p>
      <w:pPr>
        <w:rPr>
          <w:sz w:val="18"/>
          <w:szCs w:val="18"/>
          <w:lang w:eastAsia="en-GB"/>
        </w:rPr>
      </w:pPr>
      <w:r>
        <w:rPr>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w:t>
      </w:r>
      <w:r>
        <w:rPr>
          <w:sz w:val="18"/>
          <w:szCs w:val="18"/>
        </w:rPr>
        <w:t xml:space="preserve">under the Criminal Justice &amp; Courts Services Act 2000. </w:t>
      </w:r>
      <w:r>
        <w:rPr>
          <w:sz w:val="18"/>
          <w:szCs w:val="18"/>
          <w:lang w:eastAsia="en-GB"/>
        </w:rPr>
        <w:t xml:space="preserve">The school’s policy on the recruitment of ex-offenders is available [on request] [on the school website]. </w:t>
      </w:r>
    </w:p>
    <w:p>
      <w:pPr>
        <w:rPr>
          <w:sz w:val="18"/>
          <w:szCs w:val="18"/>
          <w:lang w:eastAsia="en-GB"/>
        </w:rPr>
      </w:pPr>
    </w:p>
    <w:p>
      <w:pPr>
        <w:rPr>
          <w:sz w:val="18"/>
          <w:szCs w:val="18"/>
          <w:lang w:eastAsia="en-GB"/>
        </w:rPr>
      </w:pPr>
      <w:r>
        <w:rPr>
          <w:sz w:val="18"/>
          <w:szCs w:val="18"/>
          <w:lang w:eastAsia="en-GB"/>
        </w:rPr>
        <w:t xml:space="preserve">If you fail to disclose any relevant offences or give false information </w:t>
      </w:r>
      <w:r>
        <w:rPr>
          <w:sz w:val="18"/>
          <w:szCs w:val="18"/>
        </w:rPr>
        <w:t>then it will disqualify any offer of employment, or result in summary dismissal if you are in post, with possible referral to the police.</w:t>
      </w:r>
      <w:r>
        <w:rPr>
          <w:sz w:val="18"/>
          <w:szCs w:val="18"/>
          <w:lang w:eastAsia="en-GB"/>
        </w:rPr>
        <w:t xml:space="preserve"> Confirmation of appointment is subject to a satisfactory Enhanced DBS Certificate. </w:t>
      </w:r>
    </w:p>
    <w:p/>
    <w:p>
      <w:pPr>
        <w:rPr>
          <w:b/>
        </w:rPr>
      </w:pPr>
      <w:r>
        <w:rPr>
          <w:b/>
        </w:rPr>
        <w:t>Spent and Unspent Convictions Cautions Warnings and Reprimands except those “protected”</w:t>
      </w:r>
    </w:p>
    <w:p>
      <w:pPr>
        <w:rPr>
          <w:i/>
        </w:rPr>
      </w:pPr>
      <w:r>
        <w:rPr>
          <w:i/>
        </w:rPr>
        <w:t>Please complete this table entering “none” if applicable. Continue overleaf if necessary.</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86"/>
        <w:gridCol w:w="2162"/>
        <w:gridCol w:w="2162"/>
        <w:gridCol w:w="2160"/>
      </w:tblGrid>
      <w:tr>
        <w:trPr>
          <w:trHeight w:val="133"/>
        </w:trPr>
        <w:tc>
          <w:tcPr>
            <w:tcW w:w="1716" w:type="pct"/>
            <w:tcBorders>
              <w:top w:val="single" w:sz="8" w:space="0" w:color="000000"/>
              <w:bottom w:val="single" w:sz="8" w:space="0" w:color="000000"/>
              <w:right w:val="single" w:sz="8" w:space="0" w:color="000000"/>
            </w:tcBorders>
          </w:tcPr>
          <w:p>
            <w:pPr>
              <w:rPr>
                <w:lang w:eastAsia="en-GB"/>
              </w:rPr>
            </w:pPr>
            <w:r>
              <w:rPr>
                <w:lang w:eastAsia="en-GB"/>
              </w:rPr>
              <w:t xml:space="preserve">Offence </w:t>
            </w:r>
          </w:p>
        </w:tc>
        <w:tc>
          <w:tcPr>
            <w:tcW w:w="1095" w:type="pct"/>
            <w:tcBorders>
              <w:top w:val="single" w:sz="8" w:space="0" w:color="000000"/>
              <w:left w:val="single" w:sz="8" w:space="0" w:color="000000"/>
              <w:bottom w:val="single" w:sz="8" w:space="0" w:color="000000"/>
              <w:right w:val="single" w:sz="8" w:space="0" w:color="000000"/>
            </w:tcBorders>
          </w:tcPr>
          <w:p>
            <w:pPr>
              <w:rPr>
                <w:lang w:eastAsia="en-GB"/>
              </w:rPr>
            </w:pPr>
            <w:r>
              <w:rPr>
                <w:lang w:eastAsia="en-GB"/>
              </w:rPr>
              <w:t xml:space="preserve">Date </w:t>
            </w:r>
          </w:p>
        </w:tc>
        <w:tc>
          <w:tcPr>
            <w:tcW w:w="1095" w:type="pct"/>
            <w:tcBorders>
              <w:top w:val="single" w:sz="8" w:space="0" w:color="000000"/>
              <w:left w:val="single" w:sz="8" w:space="0" w:color="000000"/>
              <w:bottom w:val="single" w:sz="8" w:space="0" w:color="000000"/>
              <w:right w:val="single" w:sz="8" w:space="0" w:color="000000"/>
            </w:tcBorders>
          </w:tcPr>
          <w:p>
            <w:pPr>
              <w:rPr>
                <w:lang w:eastAsia="en-GB"/>
              </w:rPr>
            </w:pPr>
            <w:r>
              <w:rPr>
                <w:lang w:eastAsia="en-GB"/>
              </w:rPr>
              <w:t xml:space="preserve">Court </w:t>
            </w:r>
          </w:p>
        </w:tc>
        <w:tc>
          <w:tcPr>
            <w:tcW w:w="1094" w:type="pct"/>
            <w:tcBorders>
              <w:top w:val="single" w:sz="8" w:space="0" w:color="000000"/>
              <w:left w:val="single" w:sz="8" w:space="0" w:color="000000"/>
              <w:bottom w:val="single" w:sz="8" w:space="0" w:color="000000"/>
            </w:tcBorders>
          </w:tcPr>
          <w:p>
            <w:pPr>
              <w:rPr>
                <w:lang w:eastAsia="en-GB"/>
              </w:rPr>
            </w:pPr>
            <w:r>
              <w:rPr>
                <w:lang w:eastAsia="en-GB"/>
              </w:rPr>
              <w:t xml:space="preserve">Sentence/Penalty </w:t>
            </w:r>
          </w:p>
        </w:tc>
      </w:tr>
      <w:tr>
        <w:trPr>
          <w:trHeight w:val="133"/>
        </w:trPr>
        <w:tc>
          <w:tcPr>
            <w:tcW w:w="1716" w:type="pct"/>
            <w:tcBorders>
              <w:top w:val="single" w:sz="8" w:space="0" w:color="000000"/>
              <w:bottom w:val="single" w:sz="8" w:space="0" w:color="000000"/>
              <w:right w:val="single" w:sz="8" w:space="0" w:color="000000"/>
            </w:tcBorders>
          </w:tcPr>
          <w:p>
            <w:pPr>
              <w:rPr>
                <w:lang w:eastAsia="en-GB"/>
              </w:rPr>
            </w:pPr>
          </w:p>
        </w:tc>
        <w:tc>
          <w:tcPr>
            <w:tcW w:w="1095" w:type="pct"/>
            <w:tcBorders>
              <w:top w:val="single" w:sz="8" w:space="0" w:color="000000"/>
              <w:left w:val="single" w:sz="8" w:space="0" w:color="000000"/>
              <w:bottom w:val="single" w:sz="8" w:space="0" w:color="000000"/>
              <w:right w:val="single" w:sz="8" w:space="0" w:color="000000"/>
            </w:tcBorders>
          </w:tcPr>
          <w:p>
            <w:pPr>
              <w:rPr>
                <w:lang w:eastAsia="en-GB"/>
              </w:rPr>
            </w:pPr>
          </w:p>
        </w:tc>
        <w:tc>
          <w:tcPr>
            <w:tcW w:w="1095" w:type="pct"/>
            <w:tcBorders>
              <w:top w:val="single" w:sz="8" w:space="0" w:color="000000"/>
              <w:left w:val="single" w:sz="8" w:space="0" w:color="000000"/>
              <w:bottom w:val="single" w:sz="8" w:space="0" w:color="000000"/>
              <w:right w:val="single" w:sz="8" w:space="0" w:color="000000"/>
            </w:tcBorders>
          </w:tcPr>
          <w:p>
            <w:pPr>
              <w:rPr>
                <w:lang w:eastAsia="en-GB"/>
              </w:rPr>
            </w:pPr>
          </w:p>
        </w:tc>
        <w:tc>
          <w:tcPr>
            <w:tcW w:w="1094" w:type="pct"/>
            <w:tcBorders>
              <w:top w:val="single" w:sz="8" w:space="0" w:color="000000"/>
              <w:left w:val="single" w:sz="8" w:space="0" w:color="000000"/>
              <w:bottom w:val="single" w:sz="8" w:space="0" w:color="000000"/>
            </w:tcBorders>
          </w:tcPr>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tc>
      </w:tr>
    </w:tbl>
    <w:p/>
    <w:p>
      <w:pPr>
        <w:rPr>
          <w:b/>
          <w:i/>
        </w:rPr>
      </w:pPr>
      <w:r>
        <w:rPr>
          <w:b/>
        </w:rPr>
        <w:t>Pending Prosecutions</w:t>
      </w:r>
    </w:p>
    <w:p>
      <w:pPr>
        <w:rPr>
          <w:i/>
        </w:rPr>
      </w:pPr>
      <w:r>
        <w:rPr>
          <w:i/>
        </w:rPr>
        <w:t>Please complete this table entering “none” if applicable. Continue overleaf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218"/>
        <w:gridCol w:w="3081"/>
      </w:tblGrid>
      <w:tr>
        <w:tc>
          <w:tcPr>
            <w:tcW w:w="2943" w:type="dxa"/>
          </w:tcPr>
          <w:p>
            <w:r>
              <w:t>Alleged Offence</w:t>
            </w:r>
          </w:p>
        </w:tc>
        <w:tc>
          <w:tcPr>
            <w:tcW w:w="3218" w:type="dxa"/>
          </w:tcPr>
          <w:p>
            <w:r>
              <w:t>Appearance Date</w:t>
            </w:r>
            <w:r>
              <w:tab/>
            </w:r>
          </w:p>
        </w:tc>
        <w:tc>
          <w:tcPr>
            <w:tcW w:w="3081" w:type="dxa"/>
          </w:tcPr>
          <w:p>
            <w:r>
              <w:t>Court</w:t>
            </w:r>
          </w:p>
        </w:tc>
      </w:tr>
      <w:tr>
        <w:tc>
          <w:tcPr>
            <w:tcW w:w="2943" w:type="dxa"/>
          </w:tcPr>
          <w:p/>
        </w:tc>
        <w:tc>
          <w:tcPr>
            <w:tcW w:w="3218" w:type="dxa"/>
          </w:tcPr>
          <w:p/>
        </w:tc>
        <w:tc>
          <w:tcPr>
            <w:tcW w:w="3081" w:type="dxa"/>
          </w:tcPr>
          <w:p/>
          <w:p/>
          <w:p/>
          <w:p/>
          <w:p/>
          <w:p/>
        </w:tc>
      </w:tr>
    </w:tbl>
    <w:p/>
    <w:p>
      <w:pPr>
        <w:rPr>
          <w:b/>
        </w:rPr>
      </w:pPr>
      <w:r>
        <w:rPr>
          <w:b/>
        </w:rPr>
        <w:t>Prohibition from teaching (</w:t>
      </w:r>
      <w:r>
        <w:rPr>
          <w:b/>
          <w:i/>
        </w:rPr>
        <w:t>if teaching post</w:t>
      </w:r>
      <w:r>
        <w:rPr>
          <w:b/>
        </w:rPr>
        <w:t>)</w:t>
      </w:r>
    </w:p>
    <w:p>
      <w:pPr>
        <w:rPr>
          <w:sz w:val="18"/>
          <w:szCs w:val="18"/>
        </w:rPr>
      </w:pPr>
      <w:r>
        <w:rPr>
          <w:sz w:val="18"/>
          <w:szCs w:val="18"/>
        </w:rPr>
        <w:t xml:space="preserve">I confirm that I    </w:t>
      </w:r>
      <w:r>
        <w:rPr>
          <w:b/>
          <w:sz w:val="18"/>
          <w:szCs w:val="18"/>
        </w:rPr>
        <w:t>am</w:t>
      </w:r>
      <w:r>
        <w:rPr>
          <w:sz w:val="18"/>
          <w:szCs w:val="18"/>
        </w:rPr>
        <w:t xml:space="preserve">    /    </w:t>
      </w:r>
      <w:r>
        <w:rPr>
          <w:b/>
          <w:sz w:val="18"/>
          <w:szCs w:val="18"/>
        </w:rPr>
        <w:t>am not</w:t>
      </w:r>
      <w:r>
        <w:rPr>
          <w:sz w:val="18"/>
          <w:szCs w:val="18"/>
        </w:rPr>
        <w:t xml:space="preserve">    (delete as appropriate) subject to a Prohibition Order or Interim Prohibition Order in line with the School Staffing (England) (Amendment) Regulations 2013.</w:t>
      </w:r>
    </w:p>
    <w:p>
      <w:pPr>
        <w:rPr>
          <w:sz w:val="18"/>
          <w:szCs w:val="18"/>
        </w:rPr>
      </w:pPr>
    </w:p>
    <w:p>
      <w:pPr>
        <w:rPr>
          <w:sz w:val="18"/>
          <w:szCs w:val="18"/>
        </w:rPr>
      </w:pPr>
      <w:r>
        <w:rPr>
          <w:sz w:val="18"/>
          <w:szCs w:val="18"/>
        </w:rPr>
        <w:t>I certify that I have read and understood this form and to the best of my belief the information I have entered is true and complete. I understand that if I have failed to disclose or given false information then it will disqualify any offer of employment, or result in summary dismissal if I am in post, with possible referral to the police.</w:t>
      </w:r>
    </w:p>
    <w:p>
      <w:pPr>
        <w:rPr>
          <w:sz w:val="18"/>
          <w:szCs w:val="18"/>
        </w:rPr>
      </w:pPr>
    </w:p>
    <w:p>
      <w:r>
        <w:t xml:space="preserve">Signature: _______________________________________________    Date: ______________________ </w:t>
      </w:r>
    </w:p>
    <w:p/>
    <w:p>
      <w:r>
        <w:t>Full Name (please use capitals): _____________________________________</w:t>
      </w:r>
    </w:p>
    <w:p>
      <w:pPr>
        <w:rPr>
          <w:sz w:val="16"/>
          <w:szCs w:val="16"/>
          <w:lang w:eastAsia="en-GB"/>
        </w:rPr>
      </w:pPr>
    </w:p>
    <w:p>
      <w:pPr>
        <w:rPr>
          <w:sz w:val="16"/>
          <w:szCs w:val="16"/>
        </w:rPr>
      </w:pPr>
      <w:r>
        <w:rPr>
          <w:sz w:val="16"/>
          <w:szCs w:val="16"/>
          <w:lang w:eastAsia="en-GB"/>
        </w:rPr>
        <w:t>If you are appointed this form will be retained on your personal file for the duration of employment. If you are not appointed it will be securely destroyed.</w:t>
      </w:r>
    </w:p>
    <w:p/>
    <w:sectPr>
      <w:footerReference w:type="default" r:id="rId9"/>
      <w:pgSz w:w="11906" w:h="16838" w:code="9"/>
      <w:pgMar w:top="709" w:right="1008" w:bottom="1440" w:left="1008" w:header="720" w:footer="720" w:gutter="0"/>
      <w:paperSrc w:firs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left"/>
    </w:pPr>
    <w:r>
      <w:rPr>
        <w:b/>
        <w:bCs w:val="0"/>
        <w:color w:val="000000"/>
        <w:lang w:val="pl-PL"/>
      </w:rPr>
      <w:tab/>
    </w:r>
    <w:r>
      <w:rPr>
        <w:b/>
        <w:bCs w:val="0"/>
        <w:color w:val="000000"/>
        <w:lang w:val="pl-P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9A5A82"/>
    <w:multiLevelType w:val="hybridMultilevel"/>
    <w:tmpl w:val="5A0527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DA000C1"/>
    <w:multiLevelType w:val="hybridMultilevel"/>
    <w:tmpl w:val="2E5CC3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820BCB-9B5B-4AD0-9008-403F3BF2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autoSpaceDE w:val="0"/>
      <w:autoSpaceDN w:val="0"/>
      <w:adjustRightInd w:val="0"/>
      <w:jc w:val="both"/>
    </w:pPr>
    <w:rPr>
      <w:rFonts w:ascii="Arial" w:hAnsi="Arial" w:cs="Arial"/>
      <w:bCs/>
      <w:lang w:eastAsia="en-US"/>
    </w:rPr>
  </w:style>
  <w:style w:type="paragraph" w:styleId="Heading1">
    <w:name w:val="heading 1"/>
    <w:basedOn w:val="Normal"/>
    <w:next w:val="Normal"/>
    <w:autoRedefine/>
    <w:qFormat/>
    <w:pPr>
      <w:keepNext/>
      <w:tabs>
        <w:tab w:val="right" w:pos="9000"/>
      </w:tabs>
      <w:jc w:val="center"/>
      <w:outlineLvl w:val="0"/>
    </w:pPr>
    <w:rPr>
      <w:b/>
      <w:kern w:val="28"/>
      <w:sz w:val="32"/>
      <w:szCs w:val="32"/>
      <w:u w:val="single"/>
    </w:rPr>
  </w:style>
  <w:style w:type="paragraph" w:styleId="Heading2">
    <w:name w:val="heading 2"/>
    <w:basedOn w:val="Normal"/>
    <w:next w:val="Normal"/>
    <w:autoRedefine/>
    <w:qFormat/>
    <w:pPr>
      <w:keepNext/>
      <w:tabs>
        <w:tab w:val="right" w:pos="9000"/>
      </w:tabs>
      <w:jc w:val="center"/>
      <w:outlineLvl w:val="1"/>
    </w:pPr>
    <w:rPr>
      <w:b/>
      <w:sz w:val="32"/>
      <w:szCs w:val="32"/>
      <w:u w:val="single"/>
    </w:rPr>
  </w:style>
  <w:style w:type="paragraph" w:styleId="Heading3">
    <w:name w:val="heading 3"/>
    <w:basedOn w:val="Normal"/>
    <w:next w:val="Normal"/>
    <w:autoRedefine/>
    <w:qFormat/>
    <w:pPr>
      <w:keepNext/>
      <w:ind w:left="720" w:hanging="720"/>
      <w:outlineLvl w:val="2"/>
    </w:pPr>
    <w:rPr>
      <w:b/>
      <w:sz w:val="28"/>
    </w:rPr>
  </w:style>
  <w:style w:type="paragraph" w:styleId="Heading4">
    <w:name w:val="heading 4"/>
    <w:basedOn w:val="Normal"/>
    <w:next w:val="Normal"/>
    <w:autoRedefine/>
    <w:qFormat/>
    <w:pPr>
      <w:keepNext/>
      <w:ind w:left="720" w:hanging="720"/>
      <w:outlineLvl w:val="3"/>
    </w:pPr>
    <w:rPr>
      <w:b/>
      <w:snapToGrid w:val="0"/>
      <w:szCs w:val="24"/>
    </w:rPr>
  </w:style>
  <w:style w:type="paragraph" w:styleId="Heading5">
    <w:name w:val="heading 5"/>
    <w:basedOn w:val="Normal"/>
    <w:next w:val="Normal"/>
    <w:autoRedefine/>
    <w:qFormat/>
    <w:pPr>
      <w:keepNext/>
      <w:tabs>
        <w:tab w:val="right" w:pos="389"/>
        <w:tab w:val="left" w:pos="1080"/>
      </w:tabs>
      <w:spacing w:after="120"/>
      <w:ind w:left="1080" w:hanging="1080"/>
      <w:outlineLvl w:val="4"/>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pBdr>
        <w:bottom w:val="single" w:sz="18" w:space="1" w:color="auto"/>
      </w:pBdr>
      <w:tabs>
        <w:tab w:val="right" w:pos="9000"/>
      </w:tabs>
      <w:spacing w:before="240" w:after="120"/>
      <w:ind w:left="720" w:hanging="720"/>
      <w:jc w:val="left"/>
    </w:pPr>
    <w:rPr>
      <w:b/>
      <w:bCs w:val="0"/>
      <w:noProof/>
      <w:sz w:val="28"/>
      <w:szCs w:val="28"/>
    </w:rPr>
  </w:style>
  <w:style w:type="paragraph" w:styleId="TOC4">
    <w:name w:val="toc 4"/>
    <w:basedOn w:val="Normal"/>
    <w:next w:val="Normal"/>
    <w:autoRedefine/>
    <w:semiHidden/>
    <w:pPr>
      <w:tabs>
        <w:tab w:val="left" w:pos="720"/>
        <w:tab w:val="left" w:pos="1440"/>
        <w:tab w:val="right" w:pos="9000"/>
      </w:tabs>
      <w:spacing w:after="120"/>
      <w:ind w:left="1440" w:hanging="720"/>
      <w:jc w:val="left"/>
    </w:pPr>
    <w:rPr>
      <w:b/>
      <w:noProof/>
    </w:rPr>
  </w:style>
  <w:style w:type="paragraph" w:styleId="NormalIndent">
    <w:name w:val="Normal Indent"/>
    <w:basedOn w:val="Normal"/>
    <w:pPr>
      <w:ind w:left="720"/>
    </w:pPr>
  </w:style>
  <w:style w:type="paragraph" w:styleId="BodyText">
    <w:name w:val="Body Text"/>
    <w:basedOn w:val="Normal"/>
    <w:pPr>
      <w:tabs>
        <w:tab w:val="left" w:pos="720"/>
      </w:tabs>
      <w:ind w:left="1440" w:hanging="1440"/>
    </w:pPr>
  </w:style>
  <w:style w:type="paragraph" w:styleId="BodyTextIndent">
    <w:name w:val="Body Text Indent"/>
    <w:basedOn w:val="Normal"/>
    <w:autoRedefine/>
    <w:pPr>
      <w:ind w:left="720"/>
    </w:pPr>
    <w:rPr>
      <w:snapToGrid w:val="0"/>
      <w:lang w:val="en-US"/>
    </w:rPr>
  </w:style>
  <w:style w:type="paragraph" w:styleId="BodyTextIndent3">
    <w:name w:val="Body Text Indent 3"/>
    <w:basedOn w:val="Normal"/>
    <w:autoRedefine/>
    <w:pPr>
      <w:tabs>
        <w:tab w:val="left" w:pos="1418"/>
        <w:tab w:val="left" w:pos="2160"/>
        <w:tab w:val="left" w:pos="2880"/>
      </w:tabs>
      <w:ind w:left="72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qFormat/>
    <w:pPr>
      <w:autoSpaceDE/>
      <w:autoSpaceDN/>
      <w:adjustRightInd/>
      <w:spacing w:after="200" w:line="276" w:lineRule="auto"/>
      <w:ind w:left="720"/>
      <w:contextualSpacing/>
      <w:jc w:val="left"/>
    </w:pPr>
    <w:rPr>
      <w:rFonts w:ascii="Calibri" w:hAnsi="Calibri"/>
      <w:bCs w:val="0"/>
      <w:sz w:val="22"/>
      <w:szCs w:val="22"/>
    </w:rPr>
  </w:style>
  <w:style w:type="character" w:styleId="Hyperlink">
    <w:name w:val="Hyperlink"/>
    <w:rPr>
      <w:rFonts w:cs="Times New Roman"/>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earch?q=filtering&amp;tab=detailed-resul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Education Personnel Management</Company>
  <LinksUpToDate>false</LinksUpToDate>
  <CharactersWithSpaces>3371</CharactersWithSpaces>
  <SharedDoc>false</SharedDoc>
  <HLinks>
    <vt:vector size="6" baseType="variant">
      <vt:variant>
        <vt:i4>7864359</vt:i4>
      </vt:variant>
      <vt:variant>
        <vt:i4>0</vt:i4>
      </vt:variant>
      <vt:variant>
        <vt:i4>0</vt:i4>
      </vt:variant>
      <vt:variant>
        <vt:i4>5</vt:i4>
      </vt:variant>
      <vt:variant>
        <vt:lpwstr>https://www.gov.uk/search?q=filtering&amp;tab=detailed-results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maureen</dc:creator>
  <cp:lastModifiedBy>Teresa Shortland</cp:lastModifiedBy>
  <cp:revision>3</cp:revision>
  <dcterms:created xsi:type="dcterms:W3CDTF">2017-10-20T12:14:00Z</dcterms:created>
  <dcterms:modified xsi:type="dcterms:W3CDTF">2017-10-20T12:15:00Z</dcterms:modified>
</cp:coreProperties>
</file>