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AC31E8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E37A9B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Communications and Media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E37A9B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Events Manager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E37A9B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Administrative Officer 6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AC31E8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2B0D69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Ongoing</w:t>
            </w:r>
            <w:r w:rsidR="0027184F">
              <w:rPr>
                <w:sz w:val="20"/>
              </w:rPr>
              <w:t xml:space="preserve"> </w:t>
            </w:r>
            <w:r w:rsidR="00364E91">
              <w:rPr>
                <w:sz w:val="20"/>
              </w:rPr>
              <w:t>commencing</w:t>
            </w:r>
            <w:r w:rsidR="0027184F">
              <w:rPr>
                <w:sz w:val="20"/>
              </w:rPr>
              <w:t xml:space="preserve"> </w:t>
            </w:r>
            <w:r w:rsidR="00364E91">
              <w:rPr>
                <w:sz w:val="20"/>
              </w:rPr>
              <w:t>0</w:t>
            </w:r>
            <w:r w:rsidR="0027184F">
              <w:rPr>
                <w:sz w:val="20"/>
              </w:rPr>
              <w:t>1/</w:t>
            </w:r>
            <w:r w:rsidR="00364E91">
              <w:rPr>
                <w:sz w:val="20"/>
              </w:rPr>
              <w:t>0</w:t>
            </w:r>
            <w:r w:rsidR="0027184F">
              <w:rPr>
                <w:sz w:val="20"/>
              </w:rPr>
              <w:t>7/2021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2B0D69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$92,620 - $103,538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AC31E8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Darwin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  <w:lang w:val="en-GB"/>
              </w:rPr>
            </w:pPr>
            <w:r w:rsidRPr="00AB7650">
              <w:rPr>
                <w:sz w:val="20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E37A9B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40414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:rsidR="00EF0B77" w:rsidRPr="00AB7650" w:rsidRDefault="002B0D69" w:rsidP="00364E91">
            <w:pPr>
              <w:spacing w:after="0" w:line="240" w:lineRule="auto"/>
              <w:ind w:left="284" w:hanging="284"/>
              <w:rPr>
                <w:sz w:val="20"/>
              </w:rPr>
            </w:pPr>
            <w:r>
              <w:rPr>
                <w:sz w:val="20"/>
              </w:rPr>
              <w:t>204478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</w:rPr>
            </w:pPr>
            <w:r w:rsidRPr="00AB7650">
              <w:rPr>
                <w:sz w:val="20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EF0B77" w:rsidRPr="00AB7650" w:rsidRDefault="00364E91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24/01/2021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  <w:lang w:val="en-GB"/>
              </w:rPr>
            </w:pPr>
            <w:r w:rsidRPr="00AB7650">
              <w:rPr>
                <w:sz w:val="20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EF0B77" w:rsidRPr="00AB7650" w:rsidRDefault="002B0D69" w:rsidP="00364E9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Hayley Green, Dir</w:t>
            </w:r>
            <w:r w:rsidR="00364E91">
              <w:rPr>
                <w:sz w:val="20"/>
              </w:rPr>
              <w:t xml:space="preserve">ector Communications and Media on </w:t>
            </w:r>
            <w:r w:rsidR="00364E91">
              <w:rPr>
                <w:sz w:val="20"/>
              </w:rPr>
              <w:t>08 8901 4918</w:t>
            </w:r>
            <w:r w:rsidR="00364E91">
              <w:rPr>
                <w:sz w:val="20"/>
              </w:rPr>
              <w:t xml:space="preserve"> or</w:t>
            </w:r>
            <w:r>
              <w:rPr>
                <w:sz w:val="20"/>
              </w:rPr>
              <w:t xml:space="preserve"> </w:t>
            </w:r>
            <w:hyperlink r:id="rId9" w:history="1">
              <w:r w:rsidRPr="00AA2FEA">
                <w:rPr>
                  <w:rStyle w:val="Hyperlink"/>
                  <w:sz w:val="20"/>
                </w:rPr>
                <w:t>hayley.green@nt.gov.au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sz w:val="20"/>
                <w:lang w:val="en-GB"/>
              </w:rPr>
            </w:pPr>
            <w:r w:rsidRPr="00AB7650">
              <w:rPr>
                <w:sz w:val="20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EF0B77" w:rsidRPr="00AB7650" w:rsidRDefault="006207E0" w:rsidP="00364E91">
            <w:pPr>
              <w:spacing w:after="0" w:line="240" w:lineRule="auto"/>
              <w:rPr>
                <w:sz w:val="20"/>
              </w:rPr>
            </w:pPr>
            <w:hyperlink r:id="rId10" w:history="1">
              <w:r w:rsidR="001102FE" w:rsidRPr="00AB7650">
                <w:rPr>
                  <w:rStyle w:val="Hyperlink"/>
                  <w:sz w:val="20"/>
                </w:rPr>
                <w:t>http://www.education.nt.gov.au/</w:t>
              </w:r>
            </w:hyperlink>
            <w:r w:rsidR="001102FE" w:rsidRPr="00AB7650">
              <w:rPr>
                <w:sz w:val="20"/>
              </w:rPr>
              <w:t xml:space="preserve"> </w:t>
            </w:r>
          </w:p>
        </w:tc>
      </w:tr>
      <w:tr w:rsidR="00EF0B77" w:rsidRPr="00AB7650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:rsidR="00EF0B77" w:rsidRPr="00AB7650" w:rsidRDefault="00EF0B77" w:rsidP="00364E91">
            <w:pPr>
              <w:spacing w:after="0" w:line="240" w:lineRule="auto"/>
              <w:rPr>
                <w:rFonts w:cs="Arial"/>
                <w:bCs/>
                <w:iCs/>
                <w:sz w:val="20"/>
                <w:lang w:val="en-GB"/>
              </w:rPr>
            </w:pPr>
            <w:r w:rsidRPr="00AB7650">
              <w:rPr>
                <w:sz w:val="20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0B77" w:rsidRPr="00AB7650" w:rsidRDefault="00364E91" w:rsidP="00364E91">
            <w:pPr>
              <w:spacing w:after="0" w:line="240" w:lineRule="auto"/>
              <w:rPr>
                <w:sz w:val="20"/>
              </w:rPr>
            </w:pPr>
            <w:hyperlink r:id="rId11" w:history="1">
              <w:r w:rsidRPr="00676CF3">
                <w:rPr>
                  <w:rStyle w:val="Hyperlink"/>
                  <w:sz w:val="20"/>
                </w:rPr>
                <w:t>https://jobs.nt.gov.au/Home/JobDetails?rtfId=204478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BB432E" w:rsidRPr="00AB7650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BB432E" w:rsidRPr="00141BBF" w:rsidRDefault="00BB432E" w:rsidP="00364E91">
            <w:pPr>
              <w:pStyle w:val="Heading1"/>
              <w:spacing w:before="0"/>
              <w:outlineLvl w:val="0"/>
              <w:rPr>
                <w:sz w:val="20"/>
                <w:u w:val="single"/>
              </w:rPr>
            </w:pPr>
            <w:r w:rsidRPr="00141BBF">
              <w:rPr>
                <w:sz w:val="20"/>
                <w:u w:val="single"/>
              </w:rPr>
              <w:t>Information for applicants</w:t>
            </w:r>
          </w:p>
          <w:p w:rsidR="004159C8" w:rsidRPr="00AB7650" w:rsidRDefault="00F33D27" w:rsidP="00364E91">
            <w:pPr>
              <w:spacing w:after="0" w:line="240" w:lineRule="auto"/>
              <w:jc w:val="both"/>
              <w:rPr>
                <w:sz w:val="20"/>
              </w:rPr>
            </w:pPr>
            <w:r w:rsidRPr="00AB7650">
              <w:rPr>
                <w:sz w:val="20"/>
              </w:rPr>
              <w:t xml:space="preserve">Applications must be limited to a one-page summary sheet and detailed resume. </w:t>
            </w:r>
          </w:p>
          <w:p w:rsidR="0072196C" w:rsidRPr="00AB7650" w:rsidRDefault="00F33D27" w:rsidP="00364E91">
            <w:pPr>
              <w:spacing w:after="0" w:line="240" w:lineRule="auto"/>
              <w:jc w:val="both"/>
              <w:rPr>
                <w:sz w:val="20"/>
              </w:rPr>
            </w:pPr>
            <w:r w:rsidRPr="00AB7650">
              <w:rPr>
                <w:sz w:val="20"/>
              </w:rPr>
              <w:t>The NTPS values diversity and aims for a workforce that represents the community</w:t>
            </w:r>
            <w:r w:rsidR="004159C8" w:rsidRPr="00AB7650">
              <w:rPr>
                <w:sz w:val="20"/>
              </w:rPr>
              <w:t>. The NTPS</w:t>
            </w:r>
            <w:r w:rsidRPr="00AB7650">
              <w:rPr>
                <w:sz w:val="20"/>
              </w:rPr>
              <w:t xml:space="preserve"> encourage</w:t>
            </w:r>
            <w:r w:rsidR="004159C8" w:rsidRPr="00AB7650">
              <w:rPr>
                <w:sz w:val="20"/>
              </w:rPr>
              <w:t>s</w:t>
            </w:r>
            <w:r w:rsidRPr="00AB7650">
              <w:rPr>
                <w:sz w:val="20"/>
              </w:rPr>
              <w:t xml:space="preserve"> people from all diversity groups to apply</w:t>
            </w:r>
            <w:r w:rsidR="004159C8" w:rsidRPr="00AB7650">
              <w:rPr>
                <w:sz w:val="20"/>
              </w:rPr>
              <w:t xml:space="preserve"> for vacancies</w:t>
            </w:r>
            <w:r w:rsidRPr="00AB7650">
              <w:rPr>
                <w:sz w:val="20"/>
              </w:rPr>
              <w:t>. For more information about applying for this position and the merit process</w:t>
            </w:r>
            <w:r w:rsidR="0072196C" w:rsidRPr="00AB7650">
              <w:rPr>
                <w:sz w:val="20"/>
              </w:rPr>
              <w:t>,</w:t>
            </w:r>
            <w:r w:rsidRPr="00AB7650">
              <w:rPr>
                <w:sz w:val="20"/>
              </w:rPr>
              <w:t xml:space="preserve"> go to the </w:t>
            </w:r>
            <w:hyperlink r:id="rId12" w:history="1">
              <w:r w:rsidRPr="00AB7650">
                <w:rPr>
                  <w:rStyle w:val="Hyperlink"/>
                  <w:sz w:val="20"/>
                </w:rPr>
                <w:t>OCPE website</w:t>
              </w:r>
            </w:hyperlink>
            <w:r w:rsidRPr="00AB7650">
              <w:rPr>
                <w:sz w:val="20"/>
              </w:rPr>
              <w:t>.</w:t>
            </w:r>
          </w:p>
          <w:p w:rsidR="00364E91" w:rsidRDefault="00364E91" w:rsidP="00364E91">
            <w:pPr>
              <w:spacing w:after="0" w:line="240" w:lineRule="auto"/>
              <w:jc w:val="both"/>
              <w:rPr>
                <w:sz w:val="20"/>
              </w:rPr>
            </w:pPr>
          </w:p>
          <w:p w:rsidR="00BB432E" w:rsidRPr="00AB7650" w:rsidRDefault="004159C8" w:rsidP="00364E91">
            <w:pPr>
              <w:spacing w:after="0" w:line="240" w:lineRule="auto"/>
              <w:jc w:val="both"/>
              <w:rPr>
                <w:b/>
                <w:color w:val="808080" w:themeColor="background1" w:themeShade="80"/>
                <w:sz w:val="20"/>
              </w:rPr>
            </w:pPr>
            <w:r w:rsidRPr="00AB7650">
              <w:rPr>
                <w:sz w:val="20"/>
              </w:rPr>
              <w:t xml:space="preserve">Under the agency’s Special Measures Recruitment Plan </w:t>
            </w:r>
            <w:r w:rsidR="008D2207" w:rsidRPr="00AB7650">
              <w:rPr>
                <w:sz w:val="20"/>
              </w:rPr>
              <w:t xml:space="preserve">eligible </w:t>
            </w:r>
            <w:r w:rsidRPr="00AB7650">
              <w:rPr>
                <w:sz w:val="20"/>
              </w:rPr>
              <w:t xml:space="preserve">Aboriginal and Torres Strait Islander (Aboriginal) applicants will be granted </w:t>
            </w:r>
            <w:r w:rsidR="0072196C" w:rsidRPr="00AB7650">
              <w:rPr>
                <w:sz w:val="20"/>
              </w:rPr>
              <w:t>p</w:t>
            </w:r>
            <w:r w:rsidR="00F33D27" w:rsidRPr="00AB7650">
              <w:rPr>
                <w:sz w:val="20"/>
              </w:rPr>
              <w:t xml:space="preserve">riority </w:t>
            </w:r>
            <w:r w:rsidR="0072196C" w:rsidRPr="00AB7650">
              <w:rPr>
                <w:sz w:val="20"/>
              </w:rPr>
              <w:t>c</w:t>
            </w:r>
            <w:r w:rsidR="00F33D27" w:rsidRPr="00AB7650">
              <w:rPr>
                <w:sz w:val="20"/>
              </w:rPr>
              <w:t xml:space="preserve">onsideration </w:t>
            </w:r>
            <w:r w:rsidRPr="00AB7650">
              <w:rPr>
                <w:sz w:val="20"/>
              </w:rPr>
              <w:t xml:space="preserve">for this vacancy. </w:t>
            </w:r>
            <w:r w:rsidR="008D2207" w:rsidRPr="00AB7650">
              <w:rPr>
                <w:sz w:val="20"/>
              </w:rPr>
              <w:t xml:space="preserve">For more information on Special Measures, go to the </w:t>
            </w:r>
            <w:hyperlink r:id="rId13" w:history="1">
              <w:r w:rsidR="008D2207" w:rsidRPr="00AB7650">
                <w:rPr>
                  <w:rStyle w:val="Hyperlink"/>
                  <w:sz w:val="20"/>
                </w:rPr>
                <w:t>OCPE website</w:t>
              </w:r>
            </w:hyperlink>
            <w:r w:rsidR="008D2207" w:rsidRPr="00AB7650">
              <w:rPr>
                <w:sz w:val="20"/>
              </w:rPr>
              <w:t>.</w:t>
            </w:r>
          </w:p>
        </w:tc>
      </w:tr>
    </w:tbl>
    <w:p w:rsidR="002942D4" w:rsidRPr="00141BBF" w:rsidRDefault="003116ED" w:rsidP="00141BBF">
      <w:pPr>
        <w:pStyle w:val="Heading1"/>
        <w:rPr>
          <w:sz w:val="20"/>
          <w:u w:val="single"/>
        </w:rPr>
      </w:pPr>
      <w:r w:rsidRPr="00141BBF">
        <w:rPr>
          <w:sz w:val="20"/>
          <w:u w:val="single"/>
        </w:rPr>
        <w:t xml:space="preserve">Primary </w:t>
      </w:r>
      <w:r w:rsidR="002942D4" w:rsidRPr="00141BBF">
        <w:rPr>
          <w:sz w:val="20"/>
          <w:u w:val="single"/>
        </w:rPr>
        <w:t>objective</w:t>
      </w:r>
      <w:r w:rsidR="00141BBF" w:rsidRPr="00141BBF">
        <w:rPr>
          <w:sz w:val="20"/>
          <w:u w:val="single"/>
        </w:rPr>
        <w:t>:</w:t>
      </w:r>
    </w:p>
    <w:p w:rsidR="00217FA8" w:rsidRDefault="00DC3039" w:rsidP="00364E91">
      <w:pPr>
        <w:pStyle w:val="Heading1"/>
        <w:spacing w:before="0"/>
        <w:jc w:val="both"/>
        <w:rPr>
          <w:rFonts w:cs="Times New Roman"/>
          <w:b w:val="0"/>
          <w:bCs w:val="0"/>
          <w:iCs w:val="0"/>
          <w:color w:val="auto"/>
          <w:sz w:val="20"/>
          <w:lang w:val="en-AU"/>
        </w:rPr>
      </w:pPr>
      <w:r w:rsidRPr="00DC3039">
        <w:rPr>
          <w:rFonts w:cs="Times New Roman"/>
          <w:b w:val="0"/>
          <w:bCs w:val="0"/>
          <w:iCs w:val="0"/>
          <w:color w:val="auto"/>
          <w:sz w:val="20"/>
          <w:lang w:val="en-AU"/>
        </w:rPr>
        <w:t xml:space="preserve">Responsible for the development, coordination and management of the Department of Education major events including conferences, employee awards and special events, and national days of celebrations and acknowledgement. </w:t>
      </w:r>
    </w:p>
    <w:p w:rsidR="00DC3039" w:rsidRPr="00DC3039" w:rsidRDefault="00DC3039" w:rsidP="00364E91">
      <w:pPr>
        <w:spacing w:after="0" w:line="240" w:lineRule="auto"/>
      </w:pPr>
    </w:p>
    <w:p w:rsidR="002942D4" w:rsidRPr="00141BBF" w:rsidRDefault="002942D4" w:rsidP="00364E91">
      <w:pPr>
        <w:pStyle w:val="Heading1"/>
        <w:spacing w:before="0"/>
        <w:rPr>
          <w:sz w:val="20"/>
          <w:u w:val="single"/>
        </w:rPr>
      </w:pPr>
      <w:r w:rsidRPr="00141BBF">
        <w:rPr>
          <w:sz w:val="20"/>
          <w:u w:val="single"/>
        </w:rPr>
        <w:t>Context statement</w:t>
      </w:r>
      <w:r w:rsidR="00141BBF" w:rsidRPr="00141BBF">
        <w:rPr>
          <w:sz w:val="20"/>
          <w:u w:val="single"/>
        </w:rPr>
        <w:t>:</w:t>
      </w:r>
    </w:p>
    <w:p w:rsidR="00217FA8" w:rsidRDefault="00DC3039" w:rsidP="00364E91">
      <w:pPr>
        <w:pStyle w:val="Heading1"/>
        <w:spacing w:before="0"/>
        <w:jc w:val="both"/>
        <w:rPr>
          <w:rFonts w:cs="Times New Roman"/>
          <w:b w:val="0"/>
          <w:bCs w:val="0"/>
          <w:iCs w:val="0"/>
          <w:color w:val="auto"/>
          <w:sz w:val="20"/>
          <w:lang w:val="en-AU"/>
        </w:rPr>
      </w:pPr>
      <w:r w:rsidRPr="00DC3039">
        <w:rPr>
          <w:rFonts w:cs="Times New Roman"/>
          <w:b w:val="0"/>
          <w:bCs w:val="0"/>
          <w:iCs w:val="0"/>
          <w:color w:val="auto"/>
          <w:sz w:val="20"/>
          <w:lang w:val="en-AU"/>
        </w:rPr>
        <w:t>Th</w:t>
      </w:r>
      <w:r>
        <w:rPr>
          <w:rFonts w:cs="Times New Roman"/>
          <w:b w:val="0"/>
          <w:bCs w:val="0"/>
          <w:iCs w:val="0"/>
          <w:color w:val="auto"/>
          <w:sz w:val="20"/>
          <w:lang w:val="en-AU"/>
        </w:rPr>
        <w:t>e</w:t>
      </w:r>
      <w:r w:rsidRPr="00DC3039">
        <w:rPr>
          <w:rFonts w:cs="Times New Roman"/>
          <w:b w:val="0"/>
          <w:bCs w:val="0"/>
          <w:iCs w:val="0"/>
          <w:color w:val="auto"/>
          <w:sz w:val="20"/>
          <w:lang w:val="en-AU"/>
        </w:rPr>
        <w:t xml:space="preserve"> position handles budget planning, project plans, the general development and management of major events, drafting high-level documents suc</w:t>
      </w:r>
      <w:bookmarkStart w:id="0" w:name="_GoBack"/>
      <w:bookmarkEnd w:id="0"/>
      <w:r w:rsidRPr="00DC3039">
        <w:rPr>
          <w:rFonts w:cs="Times New Roman"/>
          <w:b w:val="0"/>
          <w:bCs w:val="0"/>
          <w:iCs w:val="0"/>
          <w:color w:val="auto"/>
          <w:sz w:val="20"/>
          <w:lang w:val="en-AU"/>
        </w:rPr>
        <w:t>h as memos, ministerials and so forth including speech notes and general correspondence with an eye for quality and style requirements.</w:t>
      </w:r>
    </w:p>
    <w:p w:rsidR="00DC3039" w:rsidRPr="00DC3039" w:rsidRDefault="00DC3039" w:rsidP="00364E91">
      <w:pPr>
        <w:spacing w:after="0" w:line="240" w:lineRule="auto"/>
      </w:pPr>
    </w:p>
    <w:p w:rsidR="002A321B" w:rsidRPr="00141BBF" w:rsidRDefault="00B84E17" w:rsidP="00364E91">
      <w:pPr>
        <w:pStyle w:val="Heading1"/>
        <w:spacing w:before="0"/>
        <w:ind w:left="284" w:hanging="284"/>
        <w:jc w:val="both"/>
        <w:rPr>
          <w:sz w:val="20"/>
          <w:u w:val="single"/>
        </w:rPr>
      </w:pPr>
      <w:r w:rsidRPr="00141BBF">
        <w:rPr>
          <w:sz w:val="20"/>
          <w:u w:val="single"/>
        </w:rPr>
        <w:t>Key d</w:t>
      </w:r>
      <w:r w:rsidR="00784A4B" w:rsidRPr="00141BBF">
        <w:rPr>
          <w:sz w:val="20"/>
          <w:u w:val="single"/>
        </w:rPr>
        <w:t xml:space="preserve">uties and </w:t>
      </w:r>
      <w:r w:rsidRPr="00141BBF">
        <w:rPr>
          <w:sz w:val="20"/>
          <w:u w:val="single"/>
        </w:rPr>
        <w:t>r</w:t>
      </w:r>
      <w:r w:rsidR="00D20905" w:rsidRPr="00141BBF">
        <w:rPr>
          <w:sz w:val="20"/>
          <w:u w:val="single"/>
        </w:rPr>
        <w:t>esponsibilities</w:t>
      </w:r>
      <w:r w:rsidR="00141BBF" w:rsidRPr="00141BBF">
        <w:rPr>
          <w:sz w:val="20"/>
          <w:u w:val="single"/>
        </w:rPr>
        <w:t>:</w:t>
      </w:r>
    </w:p>
    <w:p w:rsidR="0003457B" w:rsidRPr="00683E71" w:rsidRDefault="0003457B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>Development, coordination and management of major events throughout the year, such as World Teachers’ Day and the Teach in the Territory Excellence Awards (300+ attendees), including the collection, monitoring and maintenance of data on events from various sources to facilitate continual improvement and identification of performance indicators.</w:t>
      </w:r>
    </w:p>
    <w:p w:rsidR="0003457B" w:rsidRPr="00683E71" w:rsidRDefault="0003457B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 xml:space="preserve">Coordinate all CE events throughout the year as requested ad-hoc. </w:t>
      </w:r>
    </w:p>
    <w:p w:rsidR="0003457B" w:rsidRPr="00683E71" w:rsidRDefault="0003457B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>Development and maintenance of effective working relationships and networks with peers, event sponsors and other stakeholders at local and national levels.</w:t>
      </w:r>
    </w:p>
    <w:p w:rsidR="0003457B" w:rsidRPr="00683E71" w:rsidRDefault="0003457B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>Preparation of Ministerial correspondence, speech notes and other correspondence in relation to events celebrated by the Department of Education.</w:t>
      </w:r>
    </w:p>
    <w:p w:rsidR="0003457B" w:rsidRPr="00683E71" w:rsidRDefault="0003457B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>Development and management of project plans and budgets for events, including handling procurement (up to tier 2 level).</w:t>
      </w:r>
    </w:p>
    <w:p w:rsidR="000950E0" w:rsidRPr="00683E71" w:rsidRDefault="000950E0" w:rsidP="00364E9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0"/>
        </w:rPr>
      </w:pPr>
      <w:r w:rsidRPr="00683E71">
        <w:rPr>
          <w:sz w:val="20"/>
        </w:rPr>
        <w:t xml:space="preserve">Provide communications and event coordination advice to colleagues including senior executive, as well as mentoring/upskilling as far as using systems (Excellence Awards judging system), protocol requirements, </w:t>
      </w:r>
      <w:r w:rsidR="008A67BD" w:rsidRPr="00683E71">
        <w:rPr>
          <w:sz w:val="20"/>
        </w:rPr>
        <w:t>etc.</w:t>
      </w:r>
    </w:p>
    <w:p w:rsidR="00217FA8" w:rsidRPr="00AB7650" w:rsidRDefault="00217FA8" w:rsidP="00364E91">
      <w:pPr>
        <w:pStyle w:val="Heading1"/>
        <w:spacing w:before="0"/>
        <w:ind w:left="284" w:hanging="284"/>
        <w:rPr>
          <w:sz w:val="20"/>
        </w:rPr>
      </w:pPr>
    </w:p>
    <w:p w:rsidR="002A321B" w:rsidRPr="00141BBF" w:rsidRDefault="00B84E17" w:rsidP="00364E91">
      <w:pPr>
        <w:pStyle w:val="Heading1"/>
        <w:spacing w:before="0"/>
        <w:ind w:left="284" w:hanging="284"/>
        <w:jc w:val="both"/>
        <w:rPr>
          <w:sz w:val="20"/>
          <w:u w:val="single"/>
        </w:rPr>
      </w:pPr>
      <w:r w:rsidRPr="00141BBF">
        <w:rPr>
          <w:sz w:val="20"/>
          <w:u w:val="single"/>
        </w:rPr>
        <w:t>Selection c</w:t>
      </w:r>
      <w:r w:rsidR="00D20905" w:rsidRPr="00141BBF">
        <w:rPr>
          <w:sz w:val="20"/>
          <w:u w:val="single"/>
        </w:rPr>
        <w:t>riteria</w:t>
      </w:r>
      <w:r w:rsidR="00141BBF" w:rsidRPr="00141BBF">
        <w:rPr>
          <w:sz w:val="20"/>
          <w:u w:val="single"/>
        </w:rPr>
        <w:t>:</w:t>
      </w:r>
    </w:p>
    <w:p w:rsidR="005573A3" w:rsidRPr="00141BBF" w:rsidRDefault="005573A3" w:rsidP="00364E91">
      <w:pPr>
        <w:pStyle w:val="Heading2"/>
        <w:spacing w:before="0"/>
        <w:ind w:left="284" w:hanging="284"/>
        <w:jc w:val="both"/>
        <w:rPr>
          <w:rFonts w:ascii="Lato" w:eastAsia="Calibri" w:hAnsi="Lato" w:cs="Arial"/>
          <w:b/>
          <w:bCs/>
          <w:iCs/>
          <w:color w:val="1F1F5F" w:themeColor="text1"/>
          <w:u w:val="single"/>
          <w:lang w:val="en-GB"/>
        </w:rPr>
      </w:pPr>
      <w:r w:rsidRPr="00141BBF">
        <w:rPr>
          <w:rFonts w:ascii="Lato" w:eastAsia="Calibri" w:hAnsi="Lato" w:cs="Arial"/>
          <w:b/>
          <w:bCs/>
          <w:iCs/>
          <w:color w:val="1F1F5F" w:themeColor="text1"/>
          <w:u w:val="single"/>
          <w:lang w:val="en-GB"/>
        </w:rPr>
        <w:t>Essential</w:t>
      </w:r>
      <w:r w:rsidR="00141BBF" w:rsidRPr="00141BBF">
        <w:rPr>
          <w:rFonts w:ascii="Lato" w:eastAsia="Calibri" w:hAnsi="Lato" w:cs="Arial"/>
          <w:b/>
          <w:bCs/>
          <w:iCs/>
          <w:color w:val="1F1F5F" w:themeColor="text1"/>
          <w:u w:val="single"/>
          <w:lang w:val="en-GB"/>
        </w:rPr>
        <w:t>:</w:t>
      </w:r>
    </w:p>
    <w:p w:rsidR="00DC3039" w:rsidRPr="00DC3039" w:rsidRDefault="00DC3039" w:rsidP="00364E91">
      <w:pPr>
        <w:pStyle w:val="Heading1"/>
        <w:numPr>
          <w:ilvl w:val="0"/>
          <w:numId w:val="18"/>
        </w:numPr>
        <w:spacing w:before="0"/>
        <w:ind w:left="284" w:hanging="284"/>
        <w:jc w:val="both"/>
        <w:rPr>
          <w:rFonts w:eastAsiaTheme="minorEastAsia" w:cs="Times New Roman"/>
          <w:b w:val="0"/>
          <w:bCs w:val="0"/>
          <w:color w:val="auto"/>
          <w:sz w:val="20"/>
          <w:lang w:val="en-AU"/>
        </w:rPr>
      </w:pPr>
      <w:r w:rsidRPr="00DC3039">
        <w:rPr>
          <w:rFonts w:eastAsiaTheme="minorEastAsia" w:cs="Times New Roman"/>
          <w:b w:val="0"/>
          <w:bCs w:val="0"/>
          <w:color w:val="auto"/>
          <w:sz w:val="20"/>
          <w:lang w:val="en-AU"/>
        </w:rPr>
        <w:t>Demonstrated events and project management experience coupled with an attention to detail, client focus and proven ability to interpret political, social and organisational environments when developing and managing major events.</w:t>
      </w:r>
    </w:p>
    <w:p w:rsidR="00DC3039" w:rsidRPr="00DC3039" w:rsidRDefault="00DC3039" w:rsidP="00364E91">
      <w:pPr>
        <w:pStyle w:val="Heading1"/>
        <w:numPr>
          <w:ilvl w:val="0"/>
          <w:numId w:val="18"/>
        </w:numPr>
        <w:spacing w:before="0"/>
        <w:ind w:left="284" w:hanging="284"/>
        <w:jc w:val="both"/>
        <w:rPr>
          <w:rFonts w:eastAsiaTheme="minorEastAsia" w:cs="Times New Roman"/>
          <w:b w:val="0"/>
          <w:bCs w:val="0"/>
          <w:color w:val="auto"/>
          <w:sz w:val="20"/>
          <w:lang w:val="en-AU"/>
        </w:rPr>
      </w:pPr>
      <w:r w:rsidRPr="00DC3039">
        <w:rPr>
          <w:rFonts w:eastAsiaTheme="minorEastAsia" w:cs="Times New Roman"/>
          <w:b w:val="0"/>
          <w:bCs w:val="0"/>
          <w:color w:val="auto"/>
          <w:sz w:val="20"/>
          <w:lang w:val="en-AU"/>
        </w:rPr>
        <w:t>Demonstrated understanding of delivering major events in the Northern Territory, where remote factors and various external constraints such as we</w:t>
      </w:r>
      <w:r>
        <w:rPr>
          <w:rFonts w:eastAsiaTheme="minorEastAsia" w:cs="Times New Roman"/>
          <w:b w:val="0"/>
          <w:bCs w:val="0"/>
          <w:color w:val="auto"/>
          <w:sz w:val="20"/>
          <w:lang w:val="en-AU"/>
        </w:rPr>
        <w:t>ather or the movement of people.</w:t>
      </w:r>
    </w:p>
    <w:p w:rsidR="00DC3039" w:rsidRPr="00DC3039" w:rsidRDefault="00DC3039" w:rsidP="00364E91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0"/>
        </w:rPr>
      </w:pPr>
      <w:r w:rsidRPr="00DC3039">
        <w:rPr>
          <w:sz w:val="20"/>
        </w:rPr>
        <w:t>Knowledge of financial procedures, budgeting proc</w:t>
      </w:r>
      <w:r>
        <w:rPr>
          <w:sz w:val="20"/>
        </w:rPr>
        <w:t xml:space="preserve">esses, and working knowledge of, or the ability to acquire knowledge of, relevant </w:t>
      </w:r>
      <w:r w:rsidRPr="00DC3039">
        <w:rPr>
          <w:sz w:val="20"/>
        </w:rPr>
        <w:t>financial management policies/procedures and other fiscal/reporting policies such a</w:t>
      </w:r>
      <w:r>
        <w:rPr>
          <w:sz w:val="20"/>
        </w:rPr>
        <w:t>s national reporting frameworks.</w:t>
      </w:r>
    </w:p>
    <w:p w:rsidR="00636796" w:rsidRPr="00636796" w:rsidRDefault="00636796" w:rsidP="00364E91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sz w:val="20"/>
        </w:rPr>
      </w:pPr>
      <w:r w:rsidRPr="00636796">
        <w:rPr>
          <w:sz w:val="20"/>
        </w:rPr>
        <w:t>Proven high level oral and written communications skills, including the ability to write clearly and succinctly to develop and write projects plans, communications strategies and Ministerial correspondence.</w:t>
      </w:r>
    </w:p>
    <w:p w:rsidR="00636796" w:rsidRPr="00636796" w:rsidRDefault="00636796" w:rsidP="00364E91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sz w:val="20"/>
        </w:rPr>
      </w:pPr>
      <w:r w:rsidRPr="00636796">
        <w:rPr>
          <w:sz w:val="20"/>
        </w:rPr>
        <w:t>Proven high level interpersonal, collaborative and problem solving skills demonstrating the ability to build, nurture and sustain positive industry and stakeholder relationships, and communicate with influence.</w:t>
      </w:r>
    </w:p>
    <w:p w:rsidR="00AA0C0C" w:rsidRPr="00AB7650" w:rsidRDefault="00AA0C0C" w:rsidP="00364E91">
      <w:pPr>
        <w:pStyle w:val="Heading1"/>
        <w:numPr>
          <w:ilvl w:val="0"/>
          <w:numId w:val="18"/>
        </w:numPr>
        <w:spacing w:before="0"/>
        <w:ind w:left="284" w:hanging="284"/>
        <w:jc w:val="both"/>
        <w:rPr>
          <w:rFonts w:eastAsiaTheme="minorEastAsia" w:cs="Times New Roman"/>
          <w:b w:val="0"/>
          <w:bCs w:val="0"/>
          <w:color w:val="auto"/>
          <w:sz w:val="20"/>
          <w:lang w:val="en-AU"/>
        </w:rPr>
      </w:pPr>
      <w:r w:rsidRPr="00AB7650">
        <w:rPr>
          <w:rFonts w:eastAsiaTheme="minorEastAsia" w:cs="Times New Roman"/>
          <w:b w:val="0"/>
          <w:bCs w:val="0"/>
          <w:color w:val="auto"/>
          <w:sz w:val="20"/>
          <w:lang w:val="en-AU"/>
        </w:rPr>
        <w:t>Ability to interact effectively with people of diverse cultures.</w:t>
      </w:r>
    </w:p>
    <w:p w:rsidR="00217FA8" w:rsidRPr="00AB7650" w:rsidRDefault="00217FA8" w:rsidP="00364E91">
      <w:pPr>
        <w:pStyle w:val="Heading2"/>
        <w:spacing w:before="0"/>
        <w:ind w:left="284" w:hanging="284"/>
        <w:rPr>
          <w:rFonts w:ascii="Lato" w:eastAsia="Calibri" w:hAnsi="Lato" w:cs="Arial"/>
          <w:b/>
          <w:bCs/>
          <w:iCs/>
          <w:color w:val="1F1F5F" w:themeColor="text1"/>
          <w:lang w:val="en-GB"/>
        </w:rPr>
      </w:pPr>
    </w:p>
    <w:p w:rsidR="00AA0C0C" w:rsidRPr="00AB7650" w:rsidRDefault="00AA0C0C" w:rsidP="00364E91">
      <w:pPr>
        <w:spacing w:after="0" w:line="240" w:lineRule="auto"/>
        <w:rPr>
          <w:sz w:val="20"/>
        </w:rPr>
      </w:pPr>
    </w:p>
    <w:p w:rsidR="00B14257" w:rsidRPr="00364E91" w:rsidRDefault="00694FEA" w:rsidP="00364E91">
      <w:pPr>
        <w:tabs>
          <w:tab w:val="clear" w:pos="4136"/>
          <w:tab w:val="right" w:pos="10773"/>
        </w:tabs>
        <w:spacing w:after="0" w:line="240" w:lineRule="auto"/>
        <w:rPr>
          <w:b/>
          <w:sz w:val="20"/>
        </w:rPr>
      </w:pPr>
      <w:r w:rsidRPr="00364E91">
        <w:rPr>
          <w:b/>
          <w:sz w:val="20"/>
        </w:rPr>
        <w:t xml:space="preserve">Approved: </w:t>
      </w:r>
      <w:r w:rsidR="00683E71" w:rsidRPr="00364E91">
        <w:rPr>
          <w:b/>
          <w:sz w:val="20"/>
        </w:rPr>
        <w:t>December</w:t>
      </w:r>
      <w:r w:rsidR="00E5621D" w:rsidRPr="00364E91">
        <w:rPr>
          <w:b/>
          <w:sz w:val="20"/>
        </w:rPr>
        <w:t xml:space="preserve"> 2020</w:t>
      </w:r>
      <w:r w:rsidRPr="00364E91">
        <w:rPr>
          <w:b/>
          <w:sz w:val="20"/>
        </w:rPr>
        <w:tab/>
      </w:r>
      <w:r w:rsidR="00683E71" w:rsidRPr="00364E91">
        <w:rPr>
          <w:b/>
          <w:sz w:val="20"/>
        </w:rPr>
        <w:t>Gillian Sharkey, General Manager Strategic Services</w:t>
      </w:r>
    </w:p>
    <w:sectPr w:rsidR="00B14257" w:rsidRPr="00364E91" w:rsidSect="00DE0AA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0" w:rsidRDefault="006207E0" w:rsidP="00EF0B77">
      <w:r>
        <w:separator/>
      </w:r>
    </w:p>
  </w:endnote>
  <w:endnote w:type="continuationSeparator" w:id="0">
    <w:p w:rsidR="006207E0" w:rsidRDefault="006207E0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:rsidR="00CA36A0" w:rsidRDefault="006207E0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DC3039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DC3039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:rsidR="00784A4B" w:rsidRPr="00AC4488" w:rsidRDefault="00784A4B" w:rsidP="00EF0B77">
          <w:pPr>
            <w:rPr>
              <w:rStyle w:val="PageNumber"/>
            </w:rPr>
          </w:pPr>
        </w:p>
      </w:tc>
    </w:tr>
  </w:tbl>
  <w:p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:rsidTr="004D29D1">
      <w:trPr>
        <w:cantSplit/>
        <w:trHeight w:val="836"/>
      </w:trPr>
      <w:tc>
        <w:tcPr>
          <w:tcW w:w="7767" w:type="dxa"/>
          <w:vAlign w:val="bottom"/>
        </w:tcPr>
        <w:p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A67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A67B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0" w:rsidRDefault="006207E0" w:rsidP="00EF0B77">
      <w:r>
        <w:separator/>
      </w:r>
    </w:p>
  </w:footnote>
  <w:footnote w:type="continuationSeparator" w:id="0">
    <w:p w:rsidR="006207E0" w:rsidRDefault="006207E0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207E0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014BF2"/>
    <w:multiLevelType w:val="hybridMultilevel"/>
    <w:tmpl w:val="75EA21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594B77"/>
    <w:multiLevelType w:val="hybridMultilevel"/>
    <w:tmpl w:val="A776F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FD0202"/>
    <w:multiLevelType w:val="hybridMultilevel"/>
    <w:tmpl w:val="55F05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409750C"/>
    <w:multiLevelType w:val="hybridMultilevel"/>
    <w:tmpl w:val="48E86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7876"/>
    <w:multiLevelType w:val="hybridMultilevel"/>
    <w:tmpl w:val="2510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5116A11"/>
    <w:multiLevelType w:val="hybridMultilevel"/>
    <w:tmpl w:val="97AE9200"/>
    <w:lvl w:ilvl="0" w:tplc="BAA8394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6"/>
  </w:num>
  <w:num w:numId="3">
    <w:abstractNumId w:val="42"/>
  </w:num>
  <w:num w:numId="4">
    <w:abstractNumId w:val="28"/>
  </w:num>
  <w:num w:numId="5">
    <w:abstractNumId w:val="21"/>
  </w:num>
  <w:num w:numId="6">
    <w:abstractNumId w:val="12"/>
  </w:num>
  <w:num w:numId="7">
    <w:abstractNumId w:val="30"/>
  </w:num>
  <w:num w:numId="8">
    <w:abstractNumId w:val="19"/>
  </w:num>
  <w:num w:numId="9">
    <w:abstractNumId w:val="0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9"/>
  </w:num>
  <w:num w:numId="18">
    <w:abstractNumId w:val="20"/>
  </w:num>
  <w:num w:numId="19">
    <w:abstractNumId w:val="2"/>
  </w:num>
  <w:num w:numId="20">
    <w:abstractNumId w:val="37"/>
  </w:num>
  <w:num w:numId="21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3457B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4AD1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50E0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8C0"/>
    <w:rsid w:val="000E5DD2"/>
    <w:rsid w:val="000F2958"/>
    <w:rsid w:val="000F3850"/>
    <w:rsid w:val="000F604F"/>
    <w:rsid w:val="000F6504"/>
    <w:rsid w:val="00102582"/>
    <w:rsid w:val="00104E7F"/>
    <w:rsid w:val="001102FE"/>
    <w:rsid w:val="001137EC"/>
    <w:rsid w:val="001152F5"/>
    <w:rsid w:val="00117743"/>
    <w:rsid w:val="00117F5B"/>
    <w:rsid w:val="00132658"/>
    <w:rsid w:val="00141BBF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1C25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7FA8"/>
    <w:rsid w:val="002235C5"/>
    <w:rsid w:val="00230031"/>
    <w:rsid w:val="002343EC"/>
    <w:rsid w:val="00235C01"/>
    <w:rsid w:val="00247343"/>
    <w:rsid w:val="00255806"/>
    <w:rsid w:val="00260C6D"/>
    <w:rsid w:val="00261951"/>
    <w:rsid w:val="00265C56"/>
    <w:rsid w:val="002716CD"/>
    <w:rsid w:val="0027184F"/>
    <w:rsid w:val="0027210C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0D69"/>
    <w:rsid w:val="002B38F7"/>
    <w:rsid w:val="002B4F50"/>
    <w:rsid w:val="002B5591"/>
    <w:rsid w:val="002B6AA4"/>
    <w:rsid w:val="002C1FE9"/>
    <w:rsid w:val="002C243B"/>
    <w:rsid w:val="002C4389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4E91"/>
    <w:rsid w:val="003657E5"/>
    <w:rsid w:val="0036589C"/>
    <w:rsid w:val="00371312"/>
    <w:rsid w:val="00371DC7"/>
    <w:rsid w:val="00375EE8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A7FC5"/>
    <w:rsid w:val="005B0FB7"/>
    <w:rsid w:val="005B122A"/>
    <w:rsid w:val="005B1FCB"/>
    <w:rsid w:val="005B5AC2"/>
    <w:rsid w:val="005C2833"/>
    <w:rsid w:val="005E144D"/>
    <w:rsid w:val="005E1500"/>
    <w:rsid w:val="005E277C"/>
    <w:rsid w:val="005E3A43"/>
    <w:rsid w:val="005F0B17"/>
    <w:rsid w:val="005F6602"/>
    <w:rsid w:val="005F77C7"/>
    <w:rsid w:val="00604C49"/>
    <w:rsid w:val="00620675"/>
    <w:rsid w:val="006207E0"/>
    <w:rsid w:val="00622910"/>
    <w:rsid w:val="006254B6"/>
    <w:rsid w:val="006273A2"/>
    <w:rsid w:val="00627FC8"/>
    <w:rsid w:val="00632A2A"/>
    <w:rsid w:val="00636796"/>
    <w:rsid w:val="006433C3"/>
    <w:rsid w:val="0064651D"/>
    <w:rsid w:val="00650F5B"/>
    <w:rsid w:val="006670D7"/>
    <w:rsid w:val="006719EA"/>
    <w:rsid w:val="00671F13"/>
    <w:rsid w:val="0067400A"/>
    <w:rsid w:val="00680582"/>
    <w:rsid w:val="00683E71"/>
    <w:rsid w:val="006847AD"/>
    <w:rsid w:val="006875EA"/>
    <w:rsid w:val="0069047A"/>
    <w:rsid w:val="0069114B"/>
    <w:rsid w:val="006944C1"/>
    <w:rsid w:val="00694FEA"/>
    <w:rsid w:val="006A756A"/>
    <w:rsid w:val="006C0EC2"/>
    <w:rsid w:val="006D66F7"/>
    <w:rsid w:val="006E6881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6010"/>
    <w:rsid w:val="00867019"/>
    <w:rsid w:val="00872EB5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28C3"/>
    <w:rsid w:val="0089368E"/>
    <w:rsid w:val="00893C96"/>
    <w:rsid w:val="0089500A"/>
    <w:rsid w:val="00897C94"/>
    <w:rsid w:val="008A4B30"/>
    <w:rsid w:val="008A67BD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47F9"/>
    <w:rsid w:val="00925146"/>
    <w:rsid w:val="00925F0F"/>
    <w:rsid w:val="00931DD5"/>
    <w:rsid w:val="00932F6B"/>
    <w:rsid w:val="00934B57"/>
    <w:rsid w:val="009444F0"/>
    <w:rsid w:val="009468BC"/>
    <w:rsid w:val="00947FAE"/>
    <w:rsid w:val="009616DF"/>
    <w:rsid w:val="0096542F"/>
    <w:rsid w:val="009656B1"/>
    <w:rsid w:val="00967FA7"/>
    <w:rsid w:val="00971645"/>
    <w:rsid w:val="00977919"/>
    <w:rsid w:val="00983000"/>
    <w:rsid w:val="009870FA"/>
    <w:rsid w:val="009921C3"/>
    <w:rsid w:val="0099551D"/>
    <w:rsid w:val="009A43D9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21F5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0C0C"/>
    <w:rsid w:val="00AA541E"/>
    <w:rsid w:val="00AB7650"/>
    <w:rsid w:val="00AC31E8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4F81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072"/>
    <w:rsid w:val="00B675B2"/>
    <w:rsid w:val="00B67C00"/>
    <w:rsid w:val="00B709C1"/>
    <w:rsid w:val="00B81261"/>
    <w:rsid w:val="00B82133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C2819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0D84"/>
    <w:rsid w:val="00C43519"/>
    <w:rsid w:val="00C43C9F"/>
    <w:rsid w:val="00C45263"/>
    <w:rsid w:val="00C47D44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1970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7C47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039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74E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3E62"/>
    <w:rsid w:val="00E27D7B"/>
    <w:rsid w:val="00E30556"/>
    <w:rsid w:val="00E30981"/>
    <w:rsid w:val="00E31E14"/>
    <w:rsid w:val="00E33136"/>
    <w:rsid w:val="00E34D7C"/>
    <w:rsid w:val="00E3723D"/>
    <w:rsid w:val="00E37A9B"/>
    <w:rsid w:val="00E44C89"/>
    <w:rsid w:val="00E457A6"/>
    <w:rsid w:val="00E46BFF"/>
    <w:rsid w:val="00E5067F"/>
    <w:rsid w:val="00E54F9E"/>
    <w:rsid w:val="00E5621D"/>
    <w:rsid w:val="00E56F6A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4D96"/>
    <w:rsid w:val="00F264EA"/>
    <w:rsid w:val="00F30AE1"/>
    <w:rsid w:val="00F33D27"/>
    <w:rsid w:val="00F4205B"/>
    <w:rsid w:val="00F5696E"/>
    <w:rsid w:val="00F60EFF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74BB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0447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nt.gov.au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hayley.green@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F2EDE"/>
    <w:rsid w:val="001B6E6E"/>
    <w:rsid w:val="0021636C"/>
    <w:rsid w:val="00271128"/>
    <w:rsid w:val="002B0E17"/>
    <w:rsid w:val="002F5191"/>
    <w:rsid w:val="003808C4"/>
    <w:rsid w:val="00380ED1"/>
    <w:rsid w:val="00392FCD"/>
    <w:rsid w:val="00543B83"/>
    <w:rsid w:val="005E2273"/>
    <w:rsid w:val="00611EB4"/>
    <w:rsid w:val="006A6B3E"/>
    <w:rsid w:val="006D0FE8"/>
    <w:rsid w:val="00740510"/>
    <w:rsid w:val="00756EF8"/>
    <w:rsid w:val="007611DF"/>
    <w:rsid w:val="0079478A"/>
    <w:rsid w:val="00910BC7"/>
    <w:rsid w:val="009705E7"/>
    <w:rsid w:val="00977B5D"/>
    <w:rsid w:val="00A0562C"/>
    <w:rsid w:val="00A442F3"/>
    <w:rsid w:val="00AD765D"/>
    <w:rsid w:val="00BE6EFA"/>
    <w:rsid w:val="00C96D7F"/>
    <w:rsid w:val="00D72173"/>
    <w:rsid w:val="00DD07B1"/>
    <w:rsid w:val="00DF5ED3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EB934-BA07-4BF7-A291-B9E61A9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OCPE</dc:creator>
  <cp:lastModifiedBy>Jonathan Isaias Grandez R</cp:lastModifiedBy>
  <cp:revision>7</cp:revision>
  <cp:lastPrinted>2019-07-29T01:45:00Z</cp:lastPrinted>
  <dcterms:created xsi:type="dcterms:W3CDTF">2021-01-05T22:15:00Z</dcterms:created>
  <dcterms:modified xsi:type="dcterms:W3CDTF">2021-01-08T00:10:00Z</dcterms:modified>
</cp:coreProperties>
</file>