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21" w:rsidRDefault="00E90A21">
      <w:pPr>
        <w:jc w:val="center"/>
        <w:rPr>
          <w:rFonts w:ascii="Calibri" w:eastAsia="Calibri" w:hAnsi="Calibri" w:cs="Calibri"/>
          <w:b/>
          <w:sz w:val="28"/>
          <w:szCs w:val="28"/>
        </w:rPr>
      </w:pPr>
    </w:p>
    <w:p w:rsidR="00E90A21" w:rsidRDefault="00E90A21">
      <w:pPr>
        <w:jc w:val="center"/>
        <w:rPr>
          <w:rFonts w:ascii="Calibri" w:eastAsia="Calibri" w:hAnsi="Calibri" w:cs="Calibri"/>
          <w:b/>
          <w:sz w:val="28"/>
          <w:szCs w:val="28"/>
        </w:rPr>
      </w:pPr>
    </w:p>
    <w:p w:rsidR="00E90A21" w:rsidRDefault="00F63E44">
      <w:pPr>
        <w:jc w:val="center"/>
        <w:rPr>
          <w:rFonts w:ascii="Calibri" w:eastAsia="Calibri" w:hAnsi="Calibri" w:cs="Calibri"/>
          <w:b/>
          <w:sz w:val="28"/>
          <w:szCs w:val="28"/>
        </w:rPr>
      </w:pPr>
      <w:r>
        <w:rPr>
          <w:rFonts w:ascii="Calibri" w:eastAsia="Calibri" w:hAnsi="Calibri" w:cs="Calibri"/>
          <w:b/>
          <w:sz w:val="28"/>
          <w:szCs w:val="28"/>
        </w:rPr>
        <w:t>Nursery</w:t>
      </w:r>
      <w:r w:rsidR="00FD4291">
        <w:rPr>
          <w:rFonts w:ascii="Calibri" w:eastAsia="Calibri" w:hAnsi="Calibri" w:cs="Calibri"/>
          <w:b/>
          <w:sz w:val="28"/>
          <w:szCs w:val="28"/>
        </w:rPr>
        <w:t xml:space="preserve"> Teacher</w:t>
      </w:r>
    </w:p>
    <w:p w:rsidR="00E90A21" w:rsidRDefault="00FD4291">
      <w:pPr>
        <w:jc w:val="center"/>
        <w:rPr>
          <w:rFonts w:ascii="Calibri" w:eastAsia="Calibri" w:hAnsi="Calibri" w:cs="Calibri"/>
          <w:b/>
        </w:rPr>
      </w:pPr>
      <w:r>
        <w:rPr>
          <w:rFonts w:ascii="Calibri" w:eastAsia="Calibri" w:hAnsi="Calibri" w:cs="Calibri"/>
          <w:b/>
        </w:rPr>
        <w:t>Aureus Primary School – Person Specification</w:t>
      </w:r>
      <w:bookmarkStart w:id="0" w:name="_GoBack"/>
      <w:bookmarkEnd w:id="0"/>
    </w:p>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75"/>
        <w:gridCol w:w="3140"/>
        <w:gridCol w:w="2001"/>
        <w:gridCol w:w="125"/>
        <w:gridCol w:w="1276"/>
        <w:gridCol w:w="1134"/>
      </w:tblGrid>
      <w:tr w:rsidR="00FD4291" w:rsidTr="00FD4291">
        <w:tc>
          <w:tcPr>
            <w:tcW w:w="1675" w:type="dxa"/>
            <w:shd w:val="clear" w:color="auto" w:fill="783F38"/>
            <w:vAlign w:val="center"/>
          </w:tcPr>
          <w:p w:rsidR="00FD4291" w:rsidRDefault="00FD4291" w:rsidP="00FD4291">
            <w:pPr>
              <w:jc w:val="left"/>
              <w:rPr>
                <w:rFonts w:ascii="Calibri" w:eastAsia="Calibri" w:hAnsi="Calibri" w:cs="Calibri"/>
                <w:b/>
                <w:color w:val="FFFFFF"/>
              </w:rPr>
            </w:pPr>
            <w:r>
              <w:rPr>
                <w:rFonts w:ascii="Calibri" w:eastAsia="Calibri" w:hAnsi="Calibri" w:cs="Calibri"/>
                <w:b/>
                <w:color w:val="FFFFFF"/>
              </w:rPr>
              <w:t>Job Title</w:t>
            </w:r>
          </w:p>
        </w:tc>
        <w:tc>
          <w:tcPr>
            <w:tcW w:w="3140" w:type="dxa"/>
            <w:vAlign w:val="center"/>
          </w:tcPr>
          <w:p w:rsidR="00FD4291" w:rsidRDefault="00FD4291" w:rsidP="00FD4291">
            <w:pPr>
              <w:jc w:val="left"/>
              <w:rPr>
                <w:rFonts w:ascii="Calibri" w:eastAsia="Calibri" w:hAnsi="Calibri" w:cs="Calibri"/>
              </w:rPr>
            </w:pPr>
            <w:r>
              <w:rPr>
                <w:rFonts w:ascii="Calibri" w:eastAsia="Calibri" w:hAnsi="Calibri" w:cs="Calibri"/>
              </w:rPr>
              <w:t>Nursery Teacher</w:t>
            </w:r>
          </w:p>
        </w:tc>
        <w:tc>
          <w:tcPr>
            <w:tcW w:w="2001" w:type="dxa"/>
            <w:shd w:val="clear" w:color="auto" w:fill="783F38"/>
            <w:vAlign w:val="center"/>
          </w:tcPr>
          <w:p w:rsidR="00FD4291" w:rsidRDefault="00FD4291" w:rsidP="00FD4291">
            <w:pPr>
              <w:jc w:val="left"/>
              <w:rPr>
                <w:rFonts w:ascii="Calibri" w:eastAsia="Calibri" w:hAnsi="Calibri" w:cs="Calibri"/>
                <w:b/>
                <w:color w:val="FFFFFF"/>
              </w:rPr>
            </w:pPr>
            <w:r>
              <w:rPr>
                <w:rFonts w:ascii="Calibri" w:eastAsia="Calibri" w:hAnsi="Calibri" w:cs="Calibri"/>
                <w:b/>
                <w:color w:val="FFFFFF"/>
              </w:rPr>
              <w:t>Job Reference</w:t>
            </w:r>
          </w:p>
        </w:tc>
        <w:tc>
          <w:tcPr>
            <w:tcW w:w="2535" w:type="dxa"/>
            <w:gridSpan w:val="3"/>
            <w:vAlign w:val="center"/>
          </w:tcPr>
          <w:p w:rsidR="00FD4291" w:rsidRDefault="00FD4291" w:rsidP="00FD4291">
            <w:pPr>
              <w:jc w:val="left"/>
              <w:rPr>
                <w:rFonts w:ascii="Calibri" w:eastAsia="Calibri" w:hAnsi="Calibri" w:cs="Calibri"/>
              </w:rPr>
            </w:pPr>
            <w:r>
              <w:rPr>
                <w:rFonts w:ascii="Calibri" w:eastAsia="Calibri" w:hAnsi="Calibri" w:cs="Calibri"/>
              </w:rPr>
              <w:t>AUR2018NT</w:t>
            </w:r>
          </w:p>
        </w:tc>
      </w:tr>
      <w:tr w:rsidR="00FD4291" w:rsidTr="00FD4291">
        <w:tc>
          <w:tcPr>
            <w:tcW w:w="1675" w:type="dxa"/>
            <w:shd w:val="clear" w:color="auto" w:fill="783F38"/>
            <w:vAlign w:val="center"/>
          </w:tcPr>
          <w:p w:rsidR="00FD4291" w:rsidRDefault="00FD4291" w:rsidP="00FD4291">
            <w:pPr>
              <w:jc w:val="left"/>
              <w:rPr>
                <w:rFonts w:ascii="Calibri" w:eastAsia="Calibri" w:hAnsi="Calibri" w:cs="Calibri"/>
                <w:b/>
                <w:color w:val="FFFFFF"/>
              </w:rPr>
            </w:pPr>
            <w:r>
              <w:rPr>
                <w:rFonts w:ascii="Calibri" w:eastAsia="Calibri" w:hAnsi="Calibri" w:cs="Calibri"/>
                <w:b/>
                <w:color w:val="FFFFFF"/>
              </w:rPr>
              <w:t>Location</w:t>
            </w:r>
          </w:p>
        </w:tc>
        <w:tc>
          <w:tcPr>
            <w:tcW w:w="3140" w:type="dxa"/>
            <w:vAlign w:val="center"/>
          </w:tcPr>
          <w:p w:rsidR="00FD4291" w:rsidRDefault="00FD4291" w:rsidP="00FD4291">
            <w:pPr>
              <w:jc w:val="left"/>
              <w:rPr>
                <w:rFonts w:ascii="Calibri" w:eastAsia="Calibri" w:hAnsi="Calibri" w:cs="Calibri"/>
              </w:rPr>
            </w:pPr>
            <w:r>
              <w:rPr>
                <w:rFonts w:ascii="Calibri" w:eastAsia="Calibri" w:hAnsi="Calibri" w:cs="Calibri"/>
              </w:rPr>
              <w:t>Aureus Primary School, Didcot</w:t>
            </w:r>
          </w:p>
        </w:tc>
        <w:tc>
          <w:tcPr>
            <w:tcW w:w="2001" w:type="dxa"/>
            <w:shd w:val="clear" w:color="auto" w:fill="783F38"/>
            <w:vAlign w:val="center"/>
          </w:tcPr>
          <w:p w:rsidR="00FD4291" w:rsidRDefault="00FD4291" w:rsidP="00FD4291">
            <w:pPr>
              <w:jc w:val="left"/>
              <w:rPr>
                <w:rFonts w:ascii="Calibri" w:eastAsia="Calibri" w:hAnsi="Calibri" w:cs="Calibri"/>
                <w:b/>
                <w:color w:val="FFFFFF"/>
              </w:rPr>
            </w:pPr>
            <w:r>
              <w:rPr>
                <w:rFonts w:ascii="Calibri" w:eastAsia="Calibri" w:hAnsi="Calibri" w:cs="Calibri"/>
                <w:b/>
                <w:color w:val="FFFFFF"/>
              </w:rPr>
              <w:t>Travel Required</w:t>
            </w:r>
          </w:p>
        </w:tc>
        <w:tc>
          <w:tcPr>
            <w:tcW w:w="2535" w:type="dxa"/>
            <w:gridSpan w:val="3"/>
            <w:vAlign w:val="center"/>
          </w:tcPr>
          <w:p w:rsidR="00FD4291" w:rsidRDefault="00FD4291" w:rsidP="00FD4291">
            <w:pPr>
              <w:jc w:val="left"/>
              <w:rPr>
                <w:rFonts w:ascii="Calibri" w:eastAsia="Calibri" w:hAnsi="Calibri" w:cs="Calibri"/>
              </w:rPr>
            </w:pPr>
            <w:r>
              <w:rPr>
                <w:rFonts w:ascii="Calibri" w:eastAsia="Calibri" w:hAnsi="Calibri" w:cs="Calibri"/>
              </w:rPr>
              <w:t>No</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941"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b/>
                <w:color w:val="FFFFFF" w:themeColor="background1"/>
              </w:rPr>
            </w:pPr>
          </w:p>
        </w:tc>
        <w:tc>
          <w:tcPr>
            <w:tcW w:w="1276"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imes New Roman"/>
                <w:b/>
                <w:color w:val="FFFFFF" w:themeColor="background1"/>
              </w:rPr>
            </w:pPr>
            <w:r w:rsidRPr="00FD4291">
              <w:rPr>
                <w:rFonts w:asciiTheme="majorHAnsi" w:eastAsia="Times New Roman" w:hAnsiTheme="majorHAnsi" w:cs="Times New Roman"/>
                <w:b/>
                <w:bCs/>
                <w:color w:val="FFFFFF" w:themeColor="background1"/>
              </w:rPr>
              <w:t>Essential</w:t>
            </w:r>
          </w:p>
        </w:tc>
        <w:tc>
          <w:tcPr>
            <w:tcW w:w="1134"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imes New Roman"/>
                <w:b/>
                <w:color w:val="FFFFFF" w:themeColor="background1"/>
              </w:rPr>
            </w:pPr>
            <w:r w:rsidRPr="00FD4291">
              <w:rPr>
                <w:rFonts w:asciiTheme="majorHAnsi" w:eastAsia="Times New Roman" w:hAnsiTheme="majorHAnsi" w:cs="Times New Roman"/>
                <w:b/>
                <w:bCs/>
                <w:color w:val="FFFFFF" w:themeColor="background1"/>
              </w:rPr>
              <w:t>Desirable</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imes New Roman"/>
                <w:b/>
                <w:color w:val="FFFFFF" w:themeColor="background1"/>
              </w:rPr>
            </w:pPr>
            <w:r w:rsidRPr="00FD4291">
              <w:rPr>
                <w:rFonts w:asciiTheme="majorHAnsi" w:eastAsia="Times New Roman" w:hAnsiTheme="majorHAnsi" w:cs="Times New Roman"/>
                <w:b/>
                <w:bCs/>
                <w:color w:val="FFFFFF" w:themeColor="background1"/>
              </w:rPr>
              <w:t xml:space="preserve">Education and Qualifications </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8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before="100"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Degree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before="100"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Qualified Teacher/Early Years Professional Status/Early Years Teacher Status or other suitable Level 6 Qualification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78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before="100"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Evidence of engagement in continuing professional development, including recent training in related curriculum or teaching and learning developments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6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before="100"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Evidence of leading on the professional development of others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imes New Roman"/>
                <w:b/>
                <w:color w:val="FFFFFF" w:themeColor="background1"/>
              </w:rPr>
            </w:pPr>
            <w:r w:rsidRPr="00FD4291">
              <w:rPr>
                <w:rFonts w:asciiTheme="majorHAnsi" w:eastAsia="Times New Roman" w:hAnsiTheme="majorHAnsi" w:cs="Times New Roman"/>
                <w:b/>
                <w:bCs/>
                <w:color w:val="FFFFFF" w:themeColor="background1"/>
              </w:rPr>
              <w:t>Experience</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as a good / outstanding teacher of Early Years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5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in supporting improvements in teaching and learning</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5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in using data to inform planning and future developments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5E5478" w:rsidP="005E547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64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in monitoring, evaluation and review to support improvements/ improved  outcomes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68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in delivering both discrete and cross curricular ICT learning opportunities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7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 successful track record of improving performance outcomes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56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in working with children</w:t>
            </w:r>
            <w:r w:rsidR="005E5478">
              <w:rPr>
                <w:rFonts w:asciiTheme="majorHAnsi" w:eastAsia="Times New Roman" w:hAnsiTheme="majorHAnsi" w:cs="Times New Roman"/>
              </w:rPr>
              <w:t xml:space="preserve"> with special educational needs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in teaching across different Key Stages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improve teaching and learning in order to improve outcomes for children.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work as part of a team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establish and communicate c</w:t>
            </w:r>
            <w:r w:rsidR="005E5478">
              <w:rPr>
                <w:rFonts w:asciiTheme="majorHAnsi" w:eastAsia="Times New Roman" w:hAnsiTheme="majorHAnsi" w:cs="Times New Roman"/>
              </w:rPr>
              <w:t>lear standards and expectations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manage and develop a range of resources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58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communicate to a high standards, both in written and oral form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use ICT to support tea</w:t>
            </w:r>
            <w:r w:rsidR="005E5478">
              <w:rPr>
                <w:rFonts w:asciiTheme="majorHAnsi" w:eastAsia="Times New Roman" w:hAnsiTheme="majorHAnsi" w:cs="Times New Roman"/>
              </w:rPr>
              <w:t>ching and learning</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of success</w:t>
            </w:r>
            <w:r w:rsidR="005E5478">
              <w:rPr>
                <w:rFonts w:asciiTheme="majorHAnsi" w:eastAsia="Times New Roman" w:hAnsiTheme="majorHAnsi" w:cs="Times New Roman"/>
              </w:rPr>
              <w:t>ful teaching in a Nursery class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Experience of involvement in transition between home and nursery.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imes New Roman"/>
                <w:color w:val="FFFFFF" w:themeColor="background1"/>
              </w:rPr>
            </w:pPr>
            <w:r w:rsidRPr="00FD4291">
              <w:rPr>
                <w:rFonts w:asciiTheme="majorHAnsi" w:eastAsia="Times New Roman" w:hAnsiTheme="majorHAnsi" w:cs="Times New Roman"/>
                <w:b/>
                <w:bCs/>
                <w:color w:val="FFFFFF" w:themeColor="background1"/>
              </w:rPr>
              <w:t>Personal Attributes</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58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Values aligned with the school’s Mission Statement and GLF Schools core values.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b/>
                <w:bC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High expectations of self and others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Qualities and standards driven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Demonstrates a positive attitude and commitment to equality.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Encourages ideas, initiative and innovation in others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54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Highly motivated showing resilience, stamina and reliability under pressure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2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Manages own time well to meet competing demands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6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Ability to relate well to children and young people, parents and members of the community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600"/>
        </w:trPr>
        <w:tc>
          <w:tcPr>
            <w:tcW w:w="69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The ability to form and maintain appropriate relationships and personal boundaries with children and young people in line with the GLF Safeguarding and Child Protection Policy and the GLF Staff Code of Conduct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Theme="majorHAnsi" w:eastAsia="Times New Roman" w:hAnsiTheme="majorHAnsi" w:cs="Times New Roman"/>
                <w:color w:val="auto"/>
              </w:rPr>
            </w:pPr>
            <w:r w:rsidRPr="00FD4291">
              <w:rPr>
                <w:rFonts w:asciiTheme="majorHAnsi" w:eastAsia="Times New Roman" w:hAnsiTheme="majorHAnsi"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0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after="100" w:line="240" w:lineRule="auto"/>
              <w:jc w:val="left"/>
              <w:rPr>
                <w:rFonts w:asciiTheme="majorHAnsi" w:eastAsia="Times New Roman" w:hAnsiTheme="majorHAnsi" w:cs="Times New Roman"/>
                <w:b/>
                <w:color w:val="FFFFFF" w:themeColor="background1"/>
              </w:rPr>
            </w:pPr>
            <w:r w:rsidRPr="00FD4291">
              <w:rPr>
                <w:rFonts w:asciiTheme="majorHAnsi" w:eastAsia="Times New Roman" w:hAnsiTheme="majorHAnsi" w:cs="Times New Roman"/>
                <w:b/>
                <w:color w:val="FFFFFF" w:themeColor="background1"/>
              </w:rPr>
              <w:t>Safeguarding</w:t>
            </w:r>
          </w:p>
        </w:tc>
      </w:tr>
      <w:tr w:rsidR="00FD4291" w:rsidRPr="00FD4291" w:rsidTr="00FD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60"/>
        </w:trPr>
        <w:tc>
          <w:tcPr>
            <w:tcW w:w="93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4291" w:rsidRPr="00FD4291" w:rsidRDefault="00FD4291" w:rsidP="00FD429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ajorHAnsi" w:eastAsia="Times New Roman" w:hAnsiTheme="majorHAnsi" w:cs="Times New Roman"/>
                <w:color w:val="auto"/>
              </w:rPr>
            </w:pPr>
            <w:r w:rsidRPr="00FD4291">
              <w:rPr>
                <w:rFonts w:asciiTheme="majorHAnsi" w:eastAsia="Times New Roman" w:hAnsiTheme="majorHAnsi" w:cs="Times New Roman"/>
              </w:rPr>
              <w:t>GLF Schools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orientation or religion.</w:t>
            </w:r>
          </w:p>
        </w:tc>
      </w:tr>
      <w:tr w:rsidR="00FD4291" w:rsidTr="00FD4291">
        <w:trPr>
          <w:trHeight w:val="22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Pr>
          <w:p w:rsidR="00FD4291" w:rsidRDefault="00FD4291" w:rsidP="00FD4291">
            <w:pPr>
              <w:jc w:val="left"/>
              <w:rPr>
                <w:rFonts w:ascii="Calibri" w:eastAsia="Calibri" w:hAnsi="Calibri" w:cs="Calibri"/>
                <w:color w:val="FFFFFF"/>
              </w:rPr>
            </w:pPr>
            <w:r>
              <w:rPr>
                <w:rFonts w:ascii="Calibri" w:eastAsia="Calibri" w:hAnsi="Calibri" w:cs="Calibri"/>
                <w:b/>
                <w:color w:val="FFFFFF"/>
              </w:rPr>
              <w:t>Wellbeing</w:t>
            </w:r>
          </w:p>
        </w:tc>
      </w:tr>
      <w:tr w:rsidR="00FD4291" w:rsidTr="00FD4291">
        <w:trPr>
          <w:trHeight w:val="220"/>
        </w:trPr>
        <w:tc>
          <w:tcPr>
            <w:tcW w:w="9351" w:type="dxa"/>
            <w:gridSpan w:val="6"/>
            <w:tcBorders>
              <w:top w:val="single" w:sz="4" w:space="0" w:color="000000"/>
              <w:left w:val="single" w:sz="4" w:space="0" w:color="000000"/>
              <w:bottom w:val="single" w:sz="4" w:space="0" w:color="000000"/>
              <w:right w:val="single" w:sz="4" w:space="0" w:color="000000"/>
            </w:tcBorders>
          </w:tcPr>
          <w:p w:rsidR="00FD4291" w:rsidRPr="00FD4291" w:rsidRDefault="00FD4291" w:rsidP="00FD4291">
            <w:pPr>
              <w:spacing w:line="240" w:lineRule="auto"/>
              <w:jc w:val="left"/>
              <w:rPr>
                <w:rFonts w:ascii="Calibri" w:eastAsia="Calibri" w:hAnsi="Calibri" w:cs="Calibri"/>
              </w:rPr>
            </w:pPr>
            <w:r w:rsidRPr="00FD4291">
              <w:rPr>
                <w:rFonts w:ascii="Calibri" w:eastAsia="Calibri" w:hAnsi="Calibri" w:cs="Calibri"/>
              </w:rPr>
              <w:t>We are passionate about creating a culture of wellbeing where all staff and students are valued and supported so that we can all ‘grow, learn and flourish’.</w:t>
            </w:r>
          </w:p>
        </w:tc>
      </w:tr>
      <w:tr w:rsidR="00FD4291" w:rsidTr="00FD4291">
        <w:trPr>
          <w:trHeight w:val="22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Pr>
          <w:p w:rsidR="00FD4291" w:rsidRDefault="00FD4291" w:rsidP="00FD4291">
            <w:pPr>
              <w:jc w:val="left"/>
              <w:rPr>
                <w:rFonts w:ascii="Calibri" w:eastAsia="Calibri" w:hAnsi="Calibri" w:cs="Calibri"/>
                <w:color w:val="FFFFFF"/>
              </w:rPr>
            </w:pPr>
            <w:r>
              <w:rPr>
                <w:rFonts w:ascii="Calibri" w:eastAsia="Calibri" w:hAnsi="Calibri" w:cs="Calibri"/>
                <w:b/>
                <w:color w:val="FFFFFF"/>
              </w:rPr>
              <w:t>Diversity</w:t>
            </w:r>
          </w:p>
        </w:tc>
      </w:tr>
      <w:tr w:rsidR="00FD4291" w:rsidTr="00FD4291">
        <w:trPr>
          <w:trHeight w:val="220"/>
        </w:trPr>
        <w:tc>
          <w:tcPr>
            <w:tcW w:w="9351" w:type="dxa"/>
            <w:gridSpan w:val="6"/>
            <w:tcBorders>
              <w:top w:val="single" w:sz="4" w:space="0" w:color="000000"/>
              <w:left w:val="single" w:sz="4" w:space="0" w:color="000000"/>
              <w:bottom w:val="single" w:sz="4" w:space="0" w:color="000000"/>
              <w:right w:val="single" w:sz="4" w:space="0" w:color="000000"/>
            </w:tcBorders>
          </w:tcPr>
          <w:p w:rsidR="00FD4291" w:rsidRPr="00FD4291" w:rsidRDefault="00FD4291" w:rsidP="00FD4291">
            <w:pPr>
              <w:spacing w:line="240" w:lineRule="auto"/>
              <w:jc w:val="left"/>
              <w:rPr>
                <w:rFonts w:ascii="Calibri" w:eastAsia="Calibri" w:hAnsi="Calibri" w:cs="Calibri"/>
              </w:rPr>
            </w:pPr>
            <w:r w:rsidRPr="00FD4291">
              <w:rPr>
                <w:rFonts w:ascii="Calibri" w:eastAsia="Calibri" w:hAnsi="Calibri" w:cs="Calibri"/>
              </w:rPr>
              <w:t>We welcome applicants from under- represented groups including ethnicity, gender, transgender, age, disability, sexual orientation or religion.</w:t>
            </w:r>
          </w:p>
        </w:tc>
      </w:tr>
      <w:tr w:rsidR="00FD4291" w:rsidTr="00FD4291">
        <w:trPr>
          <w:trHeight w:val="22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783F38"/>
          </w:tcPr>
          <w:p w:rsidR="00FD4291" w:rsidRDefault="00FD4291" w:rsidP="00FD4291">
            <w:pPr>
              <w:jc w:val="left"/>
              <w:rPr>
                <w:rFonts w:ascii="Calibri" w:eastAsia="Calibri" w:hAnsi="Calibri" w:cs="Calibri"/>
                <w:color w:val="FFFFFF"/>
              </w:rPr>
            </w:pPr>
            <w:bookmarkStart w:id="1" w:name="_gjdgxs" w:colFirst="0" w:colLast="0"/>
            <w:bookmarkEnd w:id="1"/>
            <w:r>
              <w:rPr>
                <w:rFonts w:ascii="Calibri" w:eastAsia="Calibri" w:hAnsi="Calibri" w:cs="Calibri"/>
                <w:b/>
                <w:color w:val="FFFFFF"/>
              </w:rPr>
              <w:t>Flexibility</w:t>
            </w:r>
          </w:p>
        </w:tc>
      </w:tr>
      <w:tr w:rsidR="00FD4291" w:rsidTr="00FD4291">
        <w:trPr>
          <w:trHeight w:val="220"/>
        </w:trPr>
        <w:tc>
          <w:tcPr>
            <w:tcW w:w="9351" w:type="dxa"/>
            <w:gridSpan w:val="6"/>
            <w:tcBorders>
              <w:top w:val="single" w:sz="4" w:space="0" w:color="000000"/>
              <w:left w:val="single" w:sz="4" w:space="0" w:color="000000"/>
              <w:bottom w:val="single" w:sz="4" w:space="0" w:color="000000"/>
              <w:right w:val="single" w:sz="4" w:space="0" w:color="000000"/>
            </w:tcBorders>
          </w:tcPr>
          <w:p w:rsidR="00FD4291" w:rsidRPr="00FD4291" w:rsidRDefault="00FD4291" w:rsidP="00FD4291">
            <w:pPr>
              <w:spacing w:line="240" w:lineRule="auto"/>
              <w:jc w:val="left"/>
              <w:rPr>
                <w:rFonts w:ascii="Calibri" w:eastAsia="Calibri" w:hAnsi="Calibri" w:cs="Calibri"/>
              </w:rPr>
            </w:pPr>
            <w:r w:rsidRPr="00FD4291">
              <w:rPr>
                <w:rFonts w:ascii="Calibri" w:eastAsia="Calibri" w:hAnsi="Calibri" w:cs="Calibri"/>
              </w:rPr>
              <w:t>We are open to applications from educators seeking flexible roles including part-time, job share and co-leadership responsibilities.</w:t>
            </w:r>
          </w:p>
        </w:tc>
      </w:tr>
    </w:tbl>
    <w:p w:rsidR="00F63E44" w:rsidRDefault="00F63E44" w:rsidP="00F63E44">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rPr>
      </w:pPr>
    </w:p>
    <w:p w:rsidR="00FD4291" w:rsidRDefault="00FD4291" w:rsidP="00F63E44">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rPr>
      </w:pPr>
    </w:p>
    <w:p w:rsidR="00FD4291" w:rsidRDefault="00FD4291" w:rsidP="00F63E44">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rPr>
      </w:pPr>
    </w:p>
    <w:p w:rsidR="00FD4291" w:rsidRDefault="00FD4291" w:rsidP="00F63E44">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rPr>
      </w:pPr>
    </w:p>
    <w:p w:rsidR="00FD4291" w:rsidRPr="00F63E44" w:rsidRDefault="00FD4291" w:rsidP="00F63E44">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rPr>
      </w:pPr>
    </w:p>
    <w:sectPr w:rsidR="00FD4291" w:rsidRPr="00F63E44">
      <w:headerReference w:type="default" r:id="rId7"/>
      <w:footerReference w:type="default" r:id="rId8"/>
      <w:headerReference w:type="first" r:id="rId9"/>
      <w:footerReference w:type="first" r:id="rId10"/>
      <w:pgSz w:w="11906" w:h="16838"/>
      <w:pgMar w:top="1440" w:right="1440" w:bottom="1440" w:left="1440"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291" w:rsidRDefault="00FD4291">
      <w:pPr>
        <w:spacing w:line="240" w:lineRule="auto"/>
      </w:pPr>
      <w:r>
        <w:separator/>
      </w:r>
    </w:p>
  </w:endnote>
  <w:endnote w:type="continuationSeparator" w:id="0">
    <w:p w:rsidR="00FD4291" w:rsidRDefault="00FD4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91" w:rsidRDefault="00FD4291">
    <w:pPr>
      <w:tabs>
        <w:tab w:val="center" w:pos="4513"/>
        <w:tab w:val="right" w:pos="9026"/>
      </w:tabs>
      <w:spacing w:line="240" w:lineRule="auto"/>
      <w:jc w:val="right"/>
      <w:rPr>
        <w:rFonts w:ascii="Calibri" w:eastAsia="Calibri" w:hAnsi="Calibri" w:cs="Calibri"/>
        <w:sz w:val="16"/>
        <w:szCs w:val="16"/>
      </w:rPr>
    </w:pP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sidR="005E5478">
      <w:rPr>
        <w:rFonts w:ascii="Calibri" w:eastAsia="Calibri" w:hAnsi="Calibri" w:cs="Calibri"/>
        <w:noProof/>
        <w:sz w:val="16"/>
        <w:szCs w:val="16"/>
      </w:rPr>
      <w:t>2</w:t>
    </w:r>
    <w:r>
      <w:rPr>
        <w:rFonts w:ascii="Calibri" w:eastAsia="Calibri" w:hAnsi="Calibri" w:cs="Calibri"/>
        <w:sz w:val="16"/>
        <w:szCs w:val="16"/>
      </w:rPr>
      <w:fldChar w:fldCharType="end"/>
    </w:r>
  </w:p>
  <w:p w:rsidR="00FD4291" w:rsidRDefault="00FD4291">
    <w:pPr>
      <w:tabs>
        <w:tab w:val="center" w:pos="4513"/>
        <w:tab w:val="right" w:pos="9026"/>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91" w:rsidRDefault="00FD4291">
    <w:pPr>
      <w:tabs>
        <w:tab w:val="center" w:pos="4513"/>
        <w:tab w:val="right" w:pos="9026"/>
      </w:tabs>
      <w:spacing w:line="240" w:lineRule="auto"/>
      <w:jc w:val="right"/>
      <w:rPr>
        <w:rFonts w:ascii="Calibri" w:eastAsia="Calibri" w:hAnsi="Calibri" w:cs="Calibri"/>
        <w:sz w:val="16"/>
        <w:szCs w:val="16"/>
      </w:rPr>
    </w:pP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sidR="005E5478">
      <w:rPr>
        <w:rFonts w:ascii="Calibri" w:eastAsia="Calibri" w:hAnsi="Calibri" w:cs="Calibri"/>
        <w:noProof/>
        <w:sz w:val="16"/>
        <w:szCs w:val="16"/>
      </w:rPr>
      <w:t>1</w:t>
    </w:r>
    <w:r>
      <w:rPr>
        <w:rFonts w:ascii="Calibri" w:eastAsia="Calibri" w:hAnsi="Calibri" w:cs="Calibri"/>
        <w:sz w:val="16"/>
        <w:szCs w:val="16"/>
      </w:rPr>
      <w:fldChar w:fldCharType="end"/>
    </w:r>
  </w:p>
  <w:p w:rsidR="00FD4291" w:rsidRDefault="00FD4291">
    <w:pPr>
      <w:tabs>
        <w:tab w:val="center" w:pos="4513"/>
        <w:tab w:val="right" w:pos="9026"/>
      </w:tabs>
      <w:spacing w:line="240" w:lineRule="auto"/>
      <w:jc w:val="left"/>
      <w:rPr>
        <w:rFonts w:ascii="Calibri" w:eastAsia="Calibri" w:hAnsi="Calibri" w:cs="Calibri"/>
        <w:sz w:val="16"/>
        <w:szCs w:val="16"/>
      </w:rPr>
    </w:pPr>
    <w:r>
      <w:rPr>
        <w:rFonts w:ascii="Calibri" w:eastAsia="Calibri" w:hAnsi="Calibri" w:cs="Calibri"/>
        <w:sz w:val="16"/>
        <w:szCs w:val="16"/>
      </w:rPr>
      <w:t>ZDE 19/01/2018</w:t>
    </w:r>
  </w:p>
  <w:p w:rsidR="00FD4291" w:rsidRDefault="00FD4291">
    <w:pPr>
      <w:tabs>
        <w:tab w:val="center" w:pos="4513"/>
        <w:tab w:val="right" w:pos="9026"/>
      </w:tabs>
      <w:spacing w:line="240" w:lineRule="auto"/>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291" w:rsidRDefault="00FD4291">
      <w:pPr>
        <w:spacing w:line="240" w:lineRule="auto"/>
      </w:pPr>
      <w:r>
        <w:separator/>
      </w:r>
    </w:p>
  </w:footnote>
  <w:footnote w:type="continuationSeparator" w:id="0">
    <w:p w:rsidR="00FD4291" w:rsidRDefault="00FD42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91" w:rsidRDefault="00FD4291">
    <w:pPr>
      <w:tabs>
        <w:tab w:val="left" w:pos="4069"/>
        <w:tab w:val="left" w:pos="7217"/>
        <w:tab w:val="left" w:pos="8325"/>
      </w:tabs>
      <w:spacing w:line="240" w:lineRule="auto"/>
    </w:pPr>
    <w:r>
      <w:tab/>
    </w:r>
    <w:r>
      <w:tab/>
    </w:r>
    <w:r>
      <w:tab/>
    </w:r>
    <w:r>
      <w:tab/>
    </w:r>
    <w:r>
      <w:tab/>
    </w:r>
    <w:r>
      <w:tab/>
    </w:r>
    <w:r>
      <w:tab/>
    </w:r>
    <w:r>
      <w:tab/>
    </w:r>
    <w:r>
      <w:rPr>
        <w:noProof/>
      </w:rPr>
      <w:drawing>
        <wp:anchor distT="0" distB="0" distL="114300" distR="114300" simplePos="0" relativeHeight="251658240" behindDoc="0" locked="0" layoutInCell="1" hidden="0" allowOverlap="1">
          <wp:simplePos x="0" y="0"/>
          <wp:positionH relativeFrom="margin">
            <wp:posOffset>-94614</wp:posOffset>
          </wp:positionH>
          <wp:positionV relativeFrom="paragraph">
            <wp:posOffset>115570</wp:posOffset>
          </wp:positionV>
          <wp:extent cx="975995" cy="723900"/>
          <wp:effectExtent l="0" t="0" r="0" b="0"/>
          <wp:wrapNone/>
          <wp:docPr id="4" name="image6.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6.jpg" descr="E:\GLF Logos\GLF_CMYK_Multi.jpg"/>
                  <pic:cNvPicPr preferRelativeResize="0"/>
                </pic:nvPicPr>
                <pic:blipFill>
                  <a:blip r:embed="rId1"/>
                  <a:srcRect l="13032" t="14185" r="14894" b="16263"/>
                  <a:stretch>
                    <a:fillRect/>
                  </a:stretch>
                </pic:blipFill>
                <pic:spPr>
                  <a:xfrm>
                    <a:off x="0" y="0"/>
                    <a:ext cx="975995" cy="7239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4905375</wp:posOffset>
          </wp:positionH>
          <wp:positionV relativeFrom="paragraph">
            <wp:posOffset>8890</wp:posOffset>
          </wp:positionV>
          <wp:extent cx="1225550" cy="95885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25550" cy="958850"/>
                  </a:xfrm>
                  <a:prstGeom prst="rect">
                    <a:avLst/>
                  </a:prstGeom>
                  <a:ln/>
                </pic:spPr>
              </pic:pic>
            </a:graphicData>
          </a:graphic>
        </wp:anchor>
      </w:drawing>
    </w:r>
  </w:p>
  <w:p w:rsidR="00FD4291" w:rsidRDefault="00FD4291">
    <w:pPr>
      <w:tabs>
        <w:tab w:val="left" w:pos="4069"/>
        <w:tab w:val="left" w:pos="7217"/>
        <w:tab w:val="left" w:pos="8325"/>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91" w:rsidRDefault="00FD4291">
    <w:pPr>
      <w:tabs>
        <w:tab w:val="center" w:pos="4513"/>
        <w:tab w:val="right" w:pos="9026"/>
      </w:tabs>
      <w:spacing w:line="240" w:lineRule="auto"/>
    </w:pPr>
    <w:r>
      <w:tab/>
    </w:r>
    <w:r>
      <w:rPr>
        <w:noProof/>
      </w:rPr>
      <w:drawing>
        <wp:anchor distT="0" distB="0" distL="114300" distR="114300" simplePos="0" relativeHeight="251660288" behindDoc="0" locked="0" layoutInCell="1" hidden="0" allowOverlap="1">
          <wp:simplePos x="0" y="0"/>
          <wp:positionH relativeFrom="margin">
            <wp:posOffset>5029200</wp:posOffset>
          </wp:positionH>
          <wp:positionV relativeFrom="paragraph">
            <wp:posOffset>-31749</wp:posOffset>
          </wp:positionV>
          <wp:extent cx="1225550" cy="95885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25550" cy="95885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margin">
            <wp:posOffset>-437514</wp:posOffset>
          </wp:positionH>
          <wp:positionV relativeFrom="paragraph">
            <wp:posOffset>274955</wp:posOffset>
          </wp:positionV>
          <wp:extent cx="976413" cy="723900"/>
          <wp:effectExtent l="0" t="0" r="0" b="0"/>
          <wp:wrapNone/>
          <wp:docPr id="3" name="image5.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5.jpg" descr="E:\GLF Logos\GLF_CMYK_Multi.jpg"/>
                  <pic:cNvPicPr preferRelativeResize="0"/>
                </pic:nvPicPr>
                <pic:blipFill>
                  <a:blip r:embed="rId2"/>
                  <a:srcRect l="13032" t="14185" r="14894" b="16263"/>
                  <a:stretch>
                    <a:fillRect/>
                  </a:stretch>
                </pic:blipFill>
                <pic:spPr>
                  <a:xfrm>
                    <a:off x="0" y="0"/>
                    <a:ext cx="976413"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541"/>
    <w:multiLevelType w:val="multilevel"/>
    <w:tmpl w:val="C212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11A6B"/>
    <w:multiLevelType w:val="multilevel"/>
    <w:tmpl w:val="472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74BC"/>
    <w:multiLevelType w:val="multilevel"/>
    <w:tmpl w:val="526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95192"/>
    <w:multiLevelType w:val="multilevel"/>
    <w:tmpl w:val="2D80D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F757C3"/>
    <w:multiLevelType w:val="multilevel"/>
    <w:tmpl w:val="1ED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F64D4"/>
    <w:multiLevelType w:val="multilevel"/>
    <w:tmpl w:val="E67EF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CF058F"/>
    <w:multiLevelType w:val="hybridMultilevel"/>
    <w:tmpl w:val="DA3C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C5BFF"/>
    <w:multiLevelType w:val="multilevel"/>
    <w:tmpl w:val="0E2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D4517"/>
    <w:multiLevelType w:val="multilevel"/>
    <w:tmpl w:val="A57C2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211327"/>
    <w:multiLevelType w:val="multilevel"/>
    <w:tmpl w:val="CE8A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41892"/>
    <w:multiLevelType w:val="hybridMultilevel"/>
    <w:tmpl w:val="7F1E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16A1A"/>
    <w:multiLevelType w:val="multilevel"/>
    <w:tmpl w:val="543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6688D"/>
    <w:multiLevelType w:val="multilevel"/>
    <w:tmpl w:val="8C7A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72D6D"/>
    <w:multiLevelType w:val="hybridMultilevel"/>
    <w:tmpl w:val="D1A0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457C4"/>
    <w:multiLevelType w:val="multilevel"/>
    <w:tmpl w:val="66F67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8"/>
  </w:num>
  <w:num w:numId="3">
    <w:abstractNumId w:val="5"/>
  </w:num>
  <w:num w:numId="4">
    <w:abstractNumId w:val="14"/>
  </w:num>
  <w:num w:numId="5">
    <w:abstractNumId w:val="1"/>
  </w:num>
  <w:num w:numId="6">
    <w:abstractNumId w:val="0"/>
  </w:num>
  <w:num w:numId="7">
    <w:abstractNumId w:val="11"/>
  </w:num>
  <w:num w:numId="8">
    <w:abstractNumId w:val="9"/>
  </w:num>
  <w:num w:numId="9">
    <w:abstractNumId w:val="4"/>
  </w:num>
  <w:num w:numId="10">
    <w:abstractNumId w:val="7"/>
  </w:num>
  <w:num w:numId="11">
    <w:abstractNumId w:val="2"/>
  </w:num>
  <w:num w:numId="12">
    <w:abstractNumId w:val="12"/>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21"/>
    <w:rsid w:val="003D20BA"/>
    <w:rsid w:val="005E5478"/>
    <w:rsid w:val="00903FC6"/>
    <w:rsid w:val="00E90A21"/>
    <w:rsid w:val="00F63E44"/>
    <w:rsid w:val="00FD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51DD"/>
  <w15:docId w15:val="{A0DA3432-E9CD-4292-953F-8F12BC5C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Light" w:eastAsia="Open Sans Light" w:hAnsi="Open Sans Light" w:cs="Open Sans Light"/>
        <w:color w:val="000000"/>
        <w:sz w:val="22"/>
        <w:szCs w:val="22"/>
        <w:lang w:val="en-GB" w:eastAsia="en-GB" w:bidi="ar-SA"/>
      </w:rPr>
    </w:rPrDefault>
    <w:pPrDefault>
      <w:pPr>
        <w:pBdr>
          <w:top w:val="nil"/>
          <w:left w:val="nil"/>
          <w:bottom w:val="nil"/>
          <w:right w:val="nil"/>
          <w:between w:val="nil"/>
        </w:pBd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03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71453">
      <w:bodyDiv w:val="1"/>
      <w:marLeft w:val="0"/>
      <w:marRight w:val="0"/>
      <w:marTop w:val="0"/>
      <w:marBottom w:val="0"/>
      <w:divBdr>
        <w:top w:val="none" w:sz="0" w:space="0" w:color="auto"/>
        <w:left w:val="none" w:sz="0" w:space="0" w:color="auto"/>
        <w:bottom w:val="none" w:sz="0" w:space="0" w:color="auto"/>
        <w:right w:val="none" w:sz="0" w:space="0" w:color="auto"/>
      </w:divBdr>
      <w:divsChild>
        <w:div w:id="1595506409">
          <w:marLeft w:val="-108"/>
          <w:marRight w:val="0"/>
          <w:marTop w:val="0"/>
          <w:marBottom w:val="0"/>
          <w:divBdr>
            <w:top w:val="none" w:sz="0" w:space="0" w:color="auto"/>
            <w:left w:val="none" w:sz="0" w:space="0" w:color="auto"/>
            <w:bottom w:val="none" w:sz="0" w:space="0" w:color="auto"/>
            <w:right w:val="none" w:sz="0" w:space="0" w:color="auto"/>
          </w:divBdr>
        </w:div>
      </w:divsChild>
    </w:div>
    <w:div w:id="2133861122">
      <w:bodyDiv w:val="1"/>
      <w:marLeft w:val="0"/>
      <w:marRight w:val="0"/>
      <w:marTop w:val="0"/>
      <w:marBottom w:val="0"/>
      <w:divBdr>
        <w:top w:val="none" w:sz="0" w:space="0" w:color="auto"/>
        <w:left w:val="none" w:sz="0" w:space="0" w:color="auto"/>
        <w:bottom w:val="none" w:sz="0" w:space="0" w:color="auto"/>
        <w:right w:val="none" w:sz="0" w:space="0" w:color="auto"/>
      </w:divBdr>
      <w:divsChild>
        <w:div w:id="1508251953">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58C65D7A</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 Dewar</dc:creator>
  <cp:lastModifiedBy>Zoe Dewar</cp:lastModifiedBy>
  <cp:revision>2</cp:revision>
  <dcterms:created xsi:type="dcterms:W3CDTF">2018-01-29T20:46:00Z</dcterms:created>
  <dcterms:modified xsi:type="dcterms:W3CDTF">2018-01-29T20:46:00Z</dcterms:modified>
</cp:coreProperties>
</file>