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8"/>
        <w:gridCol w:w="5198"/>
      </w:tblGrid>
      <w:tr w:rsidR="00F93746" w:rsidRPr="00F93746" w:rsidTr="00B879E2">
        <w:tc>
          <w:tcPr>
            <w:tcW w:w="10396" w:type="dxa"/>
            <w:gridSpan w:val="2"/>
          </w:tcPr>
          <w:p w:rsidR="00F93746" w:rsidRPr="00F93746" w:rsidRDefault="00F93746" w:rsidP="00F93746">
            <w:pPr>
              <w:jc w:val="center"/>
              <w:rPr>
                <w:b/>
                <w:sz w:val="24"/>
                <w:szCs w:val="24"/>
              </w:rPr>
            </w:pPr>
            <w:r w:rsidRPr="00F93746">
              <w:rPr>
                <w:b/>
                <w:sz w:val="24"/>
                <w:szCs w:val="24"/>
              </w:rPr>
              <w:t>THE DOWNS SCHOOL</w:t>
            </w:r>
          </w:p>
          <w:p w:rsidR="00F93746" w:rsidRDefault="00F93746" w:rsidP="00F93746">
            <w:pPr>
              <w:jc w:val="center"/>
              <w:rPr>
                <w:b/>
                <w:sz w:val="24"/>
                <w:szCs w:val="24"/>
              </w:rPr>
            </w:pPr>
            <w:r w:rsidRPr="00F93746">
              <w:rPr>
                <w:b/>
                <w:sz w:val="24"/>
                <w:szCs w:val="24"/>
              </w:rPr>
              <w:t>JOB DESCRIPTION</w:t>
            </w:r>
          </w:p>
          <w:p w:rsidR="00D00467" w:rsidRPr="00F93746" w:rsidRDefault="00D00467" w:rsidP="00F93746">
            <w:pPr>
              <w:jc w:val="center"/>
              <w:rPr>
                <w:b/>
                <w:sz w:val="24"/>
                <w:szCs w:val="24"/>
              </w:rPr>
            </w:pPr>
          </w:p>
          <w:p w:rsidR="00F93746" w:rsidRPr="00F93746" w:rsidRDefault="00F93746" w:rsidP="00F937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5BE2" w:rsidRPr="00F93746"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A7" w:rsidRDefault="00F93746" w:rsidP="004F6DA7">
            <w:pPr>
              <w:rPr>
                <w:b/>
                <w:sz w:val="24"/>
                <w:szCs w:val="24"/>
              </w:rPr>
            </w:pPr>
            <w:r w:rsidRPr="00F93746">
              <w:rPr>
                <w:b/>
                <w:sz w:val="24"/>
                <w:szCs w:val="24"/>
              </w:rPr>
              <w:t xml:space="preserve">Job Title:     </w:t>
            </w:r>
            <w:r w:rsidR="00F22C48">
              <w:rPr>
                <w:b/>
                <w:sz w:val="24"/>
                <w:szCs w:val="24"/>
              </w:rPr>
              <w:t>Lead Practitioner</w:t>
            </w:r>
            <w:r w:rsidR="00512991">
              <w:rPr>
                <w:b/>
                <w:sz w:val="24"/>
                <w:szCs w:val="24"/>
              </w:rPr>
              <w:t xml:space="preserve"> - mathematics</w:t>
            </w:r>
          </w:p>
          <w:p w:rsidR="00F15BE2" w:rsidRPr="00F93746" w:rsidRDefault="00F15BE2" w:rsidP="00F93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BE2" w:rsidRPr="00F93746" w:rsidRDefault="00E42664" w:rsidP="00B92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Salary: Leadership Scale 5-9</w:t>
            </w:r>
          </w:p>
        </w:tc>
      </w:tr>
      <w:tr w:rsidR="00F15BE2" w:rsidRPr="00F93746"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B0" w:rsidRPr="00F93746" w:rsidRDefault="00505C24" w:rsidP="00A57CE1">
            <w:pPr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BE2" w:rsidRPr="00F93746" w:rsidRDefault="00E42664" w:rsidP="00F22C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Responsible to: Assistant Headteacher – Mathematics and Computing</w:t>
            </w:r>
          </w:p>
        </w:tc>
      </w:tr>
      <w:tr w:rsidR="00F15BE2" w:rsidRPr="00F93746">
        <w:tc>
          <w:tcPr>
            <w:tcW w:w="5198" w:type="dxa"/>
          </w:tcPr>
          <w:p w:rsidR="00F93746" w:rsidRPr="00F93746" w:rsidRDefault="00F93746">
            <w:pPr>
              <w:rPr>
                <w:b/>
                <w:sz w:val="24"/>
                <w:szCs w:val="24"/>
              </w:rPr>
            </w:pPr>
          </w:p>
        </w:tc>
        <w:tc>
          <w:tcPr>
            <w:tcW w:w="5198" w:type="dxa"/>
          </w:tcPr>
          <w:p w:rsidR="00F15BE2" w:rsidRPr="00F93746" w:rsidRDefault="00F15BE2">
            <w:pPr>
              <w:rPr>
                <w:b/>
                <w:sz w:val="24"/>
                <w:szCs w:val="24"/>
              </w:rPr>
            </w:pPr>
          </w:p>
        </w:tc>
      </w:tr>
      <w:tr w:rsidR="00F15BE2" w:rsidRPr="00F93746">
        <w:tc>
          <w:tcPr>
            <w:tcW w:w="10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F15BE2" w:rsidRPr="00F93746" w:rsidRDefault="00F15BE2">
            <w:pPr>
              <w:rPr>
                <w:b/>
                <w:color w:val="FFFFFF"/>
                <w:sz w:val="24"/>
                <w:szCs w:val="24"/>
              </w:rPr>
            </w:pPr>
            <w:r w:rsidRPr="00F93746">
              <w:rPr>
                <w:b/>
                <w:color w:val="FFFFFF"/>
                <w:sz w:val="24"/>
                <w:szCs w:val="24"/>
              </w:rPr>
              <w:t>JOB PURPOSE</w:t>
            </w:r>
          </w:p>
        </w:tc>
      </w:tr>
      <w:tr w:rsidR="00F15BE2" w:rsidRPr="00CC7AA9">
        <w:tc>
          <w:tcPr>
            <w:tcW w:w="10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19" w:rsidRPr="00C8481D" w:rsidRDefault="006B2F19" w:rsidP="006B2F1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  <w:p w:rsidR="00931997" w:rsidRPr="00A57CE1" w:rsidRDefault="00A57CE1" w:rsidP="00C8481D">
            <w:pPr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To b</w:t>
            </w:r>
            <w:r w:rsidR="00A50EB8">
              <w:rPr>
                <w:b/>
                <w:color w:val="000000"/>
                <w:sz w:val="22"/>
                <w:szCs w:val="22"/>
                <w:lang w:eastAsia="zh-CN"/>
              </w:rPr>
              <w:t>e an exemplar of teaching practice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 xml:space="preserve">, lead the </w:t>
            </w:r>
            <w:r w:rsidR="00A50EB8">
              <w:rPr>
                <w:b/>
                <w:color w:val="000000"/>
                <w:sz w:val="22"/>
                <w:szCs w:val="22"/>
                <w:lang w:eastAsia="zh-CN"/>
              </w:rPr>
              <w:t>improvement of teaching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 xml:space="preserve"> in the school as well as carrying out the professional responsibilities of a mathematics teacher, in order to improve the quality</w:t>
            </w:r>
            <w:r w:rsidR="00C8481D" w:rsidRPr="00C8481D">
              <w:rPr>
                <w:b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 xml:space="preserve">of teaching and raise standards of </w:t>
            </w:r>
            <w:r w:rsidR="006B2F19" w:rsidRPr="00C8481D">
              <w:rPr>
                <w:b/>
                <w:color w:val="000000"/>
                <w:sz w:val="22"/>
                <w:szCs w:val="22"/>
                <w:lang w:eastAsia="zh-CN"/>
              </w:rPr>
              <w:t xml:space="preserve">teaching </w:t>
            </w:r>
            <w:r w:rsidR="00C8481D" w:rsidRPr="00C8481D">
              <w:rPr>
                <w:b/>
                <w:color w:val="000000"/>
                <w:sz w:val="22"/>
                <w:szCs w:val="22"/>
                <w:lang w:eastAsia="zh-CN"/>
              </w:rPr>
              <w:t>and learning throughout the school.</w:t>
            </w:r>
            <w:r w:rsidR="00C8481D" w:rsidRPr="00C8481D">
              <w:rPr>
                <w:b/>
                <w:sz w:val="24"/>
                <w:szCs w:val="24"/>
              </w:rPr>
              <w:t xml:space="preserve"> </w:t>
            </w:r>
          </w:p>
          <w:p w:rsidR="00C8481D" w:rsidRPr="00C8481D" w:rsidRDefault="00C8481D" w:rsidP="00C8481D">
            <w:pPr>
              <w:rPr>
                <w:b/>
                <w:sz w:val="24"/>
                <w:szCs w:val="24"/>
              </w:rPr>
            </w:pPr>
          </w:p>
        </w:tc>
      </w:tr>
    </w:tbl>
    <w:p w:rsidR="00F15BE2" w:rsidRPr="00CC7AA9" w:rsidRDefault="00F15BE2">
      <w:pPr>
        <w:rPr>
          <w:sz w:val="24"/>
          <w:szCs w:val="24"/>
        </w:rPr>
      </w:pPr>
    </w:p>
    <w:p w:rsidR="00F15BE2" w:rsidRPr="00F93746" w:rsidRDefault="00F15BE2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96"/>
      </w:tblGrid>
      <w:tr w:rsidR="00F15BE2" w:rsidRPr="00F93746">
        <w:tc>
          <w:tcPr>
            <w:tcW w:w="10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F15BE2" w:rsidRPr="00F93746" w:rsidRDefault="00F15BE2">
            <w:pPr>
              <w:rPr>
                <w:b/>
                <w:color w:val="FFFFFF"/>
                <w:sz w:val="24"/>
                <w:szCs w:val="24"/>
              </w:rPr>
            </w:pPr>
            <w:r w:rsidRPr="00F93746">
              <w:rPr>
                <w:b/>
                <w:color w:val="FFFFFF"/>
                <w:sz w:val="24"/>
                <w:szCs w:val="24"/>
              </w:rPr>
              <w:t>MAIN DUTIES AND RESPONSIBILITIES</w:t>
            </w:r>
          </w:p>
        </w:tc>
      </w:tr>
    </w:tbl>
    <w:p w:rsidR="004B4BB1" w:rsidRPr="00F93746" w:rsidRDefault="004B4BB1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84"/>
      </w:tblGrid>
      <w:tr w:rsidR="00B9289A" w:rsidRPr="00F93746" w:rsidTr="001D3F5A">
        <w:trPr>
          <w:trHeight w:val="2933"/>
        </w:trPr>
        <w:tc>
          <w:tcPr>
            <w:tcW w:w="10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9A" w:rsidRPr="00931997" w:rsidRDefault="00B9289A" w:rsidP="00931997">
            <w:pPr>
              <w:rPr>
                <w:b/>
                <w:sz w:val="22"/>
                <w:szCs w:val="22"/>
              </w:rPr>
            </w:pPr>
            <w:r w:rsidRPr="00931997">
              <w:rPr>
                <w:b/>
                <w:sz w:val="22"/>
                <w:szCs w:val="22"/>
              </w:rPr>
              <w:t>All staff are expected to maintain high standards of ethics and behaviour, within and outside school by:</w:t>
            </w:r>
          </w:p>
          <w:p w:rsidR="00B9289A" w:rsidRPr="00A95432" w:rsidRDefault="00B9289A" w:rsidP="00900265">
            <w:pPr>
              <w:rPr>
                <w:i/>
                <w:sz w:val="22"/>
                <w:szCs w:val="22"/>
              </w:rPr>
            </w:pPr>
          </w:p>
          <w:p w:rsidR="00B9289A" w:rsidRPr="00C8481D" w:rsidRDefault="00C8481D" w:rsidP="00723E16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having </w:t>
            </w:r>
            <w:r w:rsidR="00B9289A" w:rsidRPr="00C8481D">
              <w:rPr>
                <w:i/>
                <w:sz w:val="24"/>
                <w:szCs w:val="24"/>
              </w:rPr>
              <w:t xml:space="preserve">proper and professional regard for the ethos, policies and practices of the school </w:t>
            </w:r>
          </w:p>
          <w:p w:rsidR="00B9289A" w:rsidRPr="00CC7AA9" w:rsidRDefault="00B9289A" w:rsidP="00723E16">
            <w:pPr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CC7AA9">
              <w:rPr>
                <w:i/>
                <w:sz w:val="24"/>
                <w:szCs w:val="24"/>
              </w:rPr>
              <w:t xml:space="preserve">understanding and acting within The Downs School’s policies and guidelines, including the School’s Code of Conduct and ICT policy </w:t>
            </w:r>
          </w:p>
          <w:p w:rsidR="00B9289A" w:rsidRPr="00CC7AA9" w:rsidRDefault="00B9289A" w:rsidP="00723E16">
            <w:pPr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CC7AA9">
              <w:rPr>
                <w:i/>
                <w:sz w:val="24"/>
                <w:szCs w:val="24"/>
              </w:rPr>
              <w:t xml:space="preserve">having an up-to-date knowledge of relevant safeguarding legislation and guidance in relation to working with and the protection of children and young people </w:t>
            </w:r>
          </w:p>
          <w:p w:rsidR="00B9289A" w:rsidRPr="00CC7AA9" w:rsidRDefault="00B9289A" w:rsidP="00723E16">
            <w:pPr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proofErr w:type="gramStart"/>
            <w:r w:rsidRPr="00CC7AA9">
              <w:rPr>
                <w:i/>
                <w:sz w:val="24"/>
                <w:szCs w:val="24"/>
              </w:rPr>
              <w:t>promoting</w:t>
            </w:r>
            <w:proofErr w:type="gramEnd"/>
            <w:r w:rsidRPr="00CC7AA9">
              <w:rPr>
                <w:i/>
                <w:sz w:val="24"/>
                <w:szCs w:val="24"/>
              </w:rPr>
              <w:t xml:space="preserve"> equality as an integral part of the their role and to treat everyone with fairness and dignity.</w:t>
            </w:r>
          </w:p>
          <w:p w:rsidR="00F12C0C" w:rsidRDefault="00B9289A" w:rsidP="00723E16">
            <w:pPr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CC7AA9">
              <w:rPr>
                <w:i/>
                <w:sz w:val="24"/>
                <w:szCs w:val="24"/>
              </w:rPr>
              <w:t>recognising health and safety is a responsibility of every employee, to rake reasonable care of self and others and to comply with the School’s Health and Safety policy and any school-specific procedure</w:t>
            </w:r>
            <w:r w:rsidR="00F22C48">
              <w:rPr>
                <w:i/>
                <w:sz w:val="24"/>
                <w:szCs w:val="24"/>
              </w:rPr>
              <w:t>s/rules that apply to this role</w:t>
            </w:r>
          </w:p>
          <w:p w:rsidR="00F22C48" w:rsidRDefault="00F22C48" w:rsidP="00F22C48">
            <w:pPr>
              <w:rPr>
                <w:i/>
                <w:sz w:val="24"/>
                <w:szCs w:val="24"/>
              </w:rPr>
            </w:pPr>
          </w:p>
          <w:p w:rsidR="00505C24" w:rsidRPr="00505C24" w:rsidRDefault="00505C24" w:rsidP="00505C24">
            <w:pPr>
              <w:widowControl w:val="0"/>
              <w:spacing w:line="20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505C24" w:rsidRPr="00931997" w:rsidRDefault="00505C24" w:rsidP="00931997">
            <w:pPr>
              <w:widowControl w:val="0"/>
              <w:spacing w:line="200" w:lineRule="exact"/>
              <w:rPr>
                <w:rFonts w:eastAsia="Comic Sans MS"/>
                <w:b/>
                <w:bCs/>
                <w:sz w:val="22"/>
                <w:szCs w:val="22"/>
                <w:lang w:val="en-US" w:eastAsia="en-US"/>
              </w:rPr>
            </w:pPr>
            <w:r w:rsidRPr="00931997">
              <w:rPr>
                <w:rFonts w:eastAsia="Comic Sans MS"/>
                <w:b/>
                <w:bCs/>
                <w:sz w:val="22"/>
                <w:szCs w:val="22"/>
                <w:lang w:val="en-US" w:eastAsia="en-US"/>
              </w:rPr>
              <w:t>Key</w:t>
            </w:r>
            <w:r w:rsidRPr="00931997">
              <w:rPr>
                <w:rFonts w:eastAsia="Comic Sans MS"/>
                <w:b/>
                <w:bCs/>
                <w:spacing w:val="-6"/>
                <w:sz w:val="22"/>
                <w:szCs w:val="22"/>
                <w:lang w:val="en-US" w:eastAsia="en-US"/>
              </w:rPr>
              <w:t xml:space="preserve"> </w:t>
            </w:r>
            <w:r w:rsidRPr="00931997">
              <w:rPr>
                <w:rFonts w:eastAsia="Comic Sans MS"/>
                <w:b/>
                <w:bCs/>
                <w:sz w:val="22"/>
                <w:szCs w:val="22"/>
                <w:lang w:val="en-US" w:eastAsia="en-US"/>
              </w:rPr>
              <w:t>Re</w:t>
            </w:r>
            <w:r w:rsidRPr="00931997">
              <w:rPr>
                <w:rFonts w:eastAsia="Comic Sans MS"/>
                <w:b/>
                <w:bCs/>
                <w:spacing w:val="1"/>
                <w:sz w:val="22"/>
                <w:szCs w:val="22"/>
                <w:lang w:val="en-US" w:eastAsia="en-US"/>
              </w:rPr>
              <w:t>s</w:t>
            </w:r>
            <w:r w:rsidRPr="00931997">
              <w:rPr>
                <w:rFonts w:eastAsia="Comic Sans MS"/>
                <w:b/>
                <w:bCs/>
                <w:spacing w:val="-1"/>
                <w:sz w:val="22"/>
                <w:szCs w:val="22"/>
                <w:lang w:val="en-US" w:eastAsia="en-US"/>
              </w:rPr>
              <w:t>p</w:t>
            </w:r>
            <w:r w:rsidRPr="00931997">
              <w:rPr>
                <w:rFonts w:eastAsia="Comic Sans MS"/>
                <w:b/>
                <w:bCs/>
                <w:spacing w:val="1"/>
                <w:sz w:val="22"/>
                <w:szCs w:val="22"/>
                <w:lang w:val="en-US" w:eastAsia="en-US"/>
              </w:rPr>
              <w:t>o</w:t>
            </w:r>
            <w:r w:rsidRPr="00931997">
              <w:rPr>
                <w:rFonts w:eastAsia="Comic Sans MS"/>
                <w:b/>
                <w:bCs/>
                <w:spacing w:val="-1"/>
                <w:sz w:val="22"/>
                <w:szCs w:val="22"/>
                <w:lang w:val="en-US" w:eastAsia="en-US"/>
              </w:rPr>
              <w:t>n</w:t>
            </w:r>
            <w:r w:rsidRPr="00931997">
              <w:rPr>
                <w:rFonts w:eastAsia="Comic Sans MS"/>
                <w:b/>
                <w:bCs/>
                <w:spacing w:val="1"/>
                <w:sz w:val="22"/>
                <w:szCs w:val="22"/>
                <w:lang w:val="en-US" w:eastAsia="en-US"/>
              </w:rPr>
              <w:t>s</w:t>
            </w:r>
            <w:r w:rsidRPr="00931997">
              <w:rPr>
                <w:rFonts w:eastAsia="Comic Sans MS"/>
                <w:b/>
                <w:bCs/>
                <w:sz w:val="22"/>
                <w:szCs w:val="22"/>
                <w:lang w:val="en-US" w:eastAsia="en-US"/>
              </w:rPr>
              <w:t>i</w:t>
            </w:r>
            <w:r w:rsidRPr="00931997">
              <w:rPr>
                <w:rFonts w:eastAsia="Comic Sans MS"/>
                <w:b/>
                <w:bCs/>
                <w:spacing w:val="-1"/>
                <w:sz w:val="22"/>
                <w:szCs w:val="22"/>
                <w:lang w:val="en-US" w:eastAsia="en-US"/>
              </w:rPr>
              <w:t>b</w:t>
            </w:r>
            <w:r w:rsidRPr="00931997">
              <w:rPr>
                <w:rFonts w:eastAsia="Comic Sans MS"/>
                <w:b/>
                <w:bCs/>
                <w:sz w:val="22"/>
                <w:szCs w:val="22"/>
                <w:lang w:val="en-US" w:eastAsia="en-US"/>
              </w:rPr>
              <w:t>i</w:t>
            </w:r>
            <w:r w:rsidRPr="00931997">
              <w:rPr>
                <w:rFonts w:eastAsia="Comic Sans MS"/>
                <w:b/>
                <w:bCs/>
                <w:spacing w:val="-1"/>
                <w:sz w:val="22"/>
                <w:szCs w:val="22"/>
                <w:lang w:val="en-US" w:eastAsia="en-US"/>
              </w:rPr>
              <w:t>l</w:t>
            </w:r>
            <w:r w:rsidRPr="00931997">
              <w:rPr>
                <w:rFonts w:eastAsia="Comic Sans MS"/>
                <w:b/>
                <w:bCs/>
                <w:sz w:val="22"/>
                <w:szCs w:val="22"/>
                <w:lang w:val="en-US" w:eastAsia="en-US"/>
              </w:rPr>
              <w:t>ities</w:t>
            </w:r>
          </w:p>
          <w:p w:rsidR="00505C24" w:rsidRDefault="00505C24" w:rsidP="00505C24">
            <w:pPr>
              <w:widowControl w:val="0"/>
              <w:spacing w:line="200" w:lineRule="exact"/>
              <w:rPr>
                <w:rFonts w:eastAsia="Comic Sans MS"/>
                <w:b/>
                <w:bCs/>
                <w:sz w:val="22"/>
                <w:szCs w:val="22"/>
                <w:lang w:val="en-US" w:eastAsia="en-US"/>
              </w:rPr>
            </w:pPr>
          </w:p>
          <w:p w:rsidR="00505C24" w:rsidRDefault="00505C24" w:rsidP="00505C24">
            <w:pPr>
              <w:widowControl w:val="0"/>
              <w:spacing w:line="200" w:lineRule="exact"/>
              <w:rPr>
                <w:rFonts w:eastAsia="Comic Sans MS"/>
                <w:b/>
                <w:bCs/>
                <w:sz w:val="22"/>
                <w:szCs w:val="22"/>
                <w:lang w:val="en-US" w:eastAsia="en-US"/>
              </w:rPr>
            </w:pPr>
          </w:p>
          <w:p w:rsidR="00505C24" w:rsidRPr="00931997" w:rsidRDefault="00505C24" w:rsidP="00931997">
            <w:pPr>
              <w:widowControl w:val="0"/>
              <w:spacing w:line="200" w:lineRule="exact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931997">
              <w:rPr>
                <w:rFonts w:eastAsia="Calibri"/>
                <w:b/>
                <w:sz w:val="22"/>
                <w:szCs w:val="22"/>
                <w:lang w:val="en-US" w:eastAsia="en-US"/>
              </w:rPr>
              <w:t>(To include those of a teacher as specified in The Downs School’s generic Job Description for teachers)</w:t>
            </w:r>
          </w:p>
          <w:p w:rsidR="00505C24" w:rsidRDefault="00505C24" w:rsidP="00505C24">
            <w:pPr>
              <w:widowControl w:val="0"/>
              <w:ind w:right="-227"/>
              <w:rPr>
                <w:rFonts w:eastAsia="Comic Sans MS"/>
                <w:b/>
                <w:bCs/>
                <w:sz w:val="22"/>
                <w:szCs w:val="22"/>
                <w:lang w:val="en-US" w:eastAsia="en-US"/>
              </w:rPr>
            </w:pPr>
          </w:p>
          <w:p w:rsidR="00F22C48" w:rsidRPr="009121C5" w:rsidRDefault="00F22C48" w:rsidP="00F22C48">
            <w:pPr>
              <w:rPr>
                <w:sz w:val="22"/>
                <w:szCs w:val="22"/>
              </w:rPr>
            </w:pPr>
          </w:p>
          <w:p w:rsidR="00512991" w:rsidRDefault="00512991" w:rsidP="00723E1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provide inspirational, innovative and motivational leadership for the improvement of teaching and learning in </w:t>
            </w:r>
            <w:r w:rsidRPr="00512991">
              <w:rPr>
                <w:b/>
                <w:sz w:val="22"/>
                <w:szCs w:val="22"/>
              </w:rPr>
              <w:t>mathematics</w:t>
            </w:r>
            <w:r>
              <w:rPr>
                <w:sz w:val="22"/>
                <w:szCs w:val="22"/>
              </w:rPr>
              <w:t>.</w:t>
            </w:r>
          </w:p>
          <w:p w:rsidR="00767949" w:rsidRDefault="00767949" w:rsidP="00723E1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be accountable for  the improvement of teaching and learning in </w:t>
            </w:r>
            <w:r w:rsidRPr="00767949">
              <w:rPr>
                <w:b/>
                <w:sz w:val="22"/>
                <w:szCs w:val="22"/>
              </w:rPr>
              <w:t>mathematics</w:t>
            </w:r>
          </w:p>
          <w:p w:rsidR="00512991" w:rsidRDefault="00512991" w:rsidP="00723E1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contribute to developing a clear direction for the continued development of the quality of teaching in numeracy across the school</w:t>
            </w:r>
          </w:p>
          <w:p w:rsidR="00512991" w:rsidRPr="00512991" w:rsidRDefault="000A6FAF" w:rsidP="00723E1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  <w:r w:rsidR="00767949">
              <w:rPr>
                <w:sz w:val="22"/>
                <w:szCs w:val="22"/>
              </w:rPr>
              <w:t xml:space="preserve"> be able to make sound judgements  of standards </w:t>
            </w:r>
            <w:r w:rsidR="005129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teaching </w:t>
            </w:r>
            <w:r w:rsidR="00512991">
              <w:rPr>
                <w:sz w:val="22"/>
                <w:szCs w:val="22"/>
              </w:rPr>
              <w:t>across the school, and where required, within specific subject areas</w:t>
            </w:r>
          </w:p>
          <w:p w:rsidR="00FA385E" w:rsidRDefault="00FA385E" w:rsidP="00723E1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take a leadership role in developing, implementing and evaluating practice and policies that contribute to the improvement of teaching across the school.</w:t>
            </w:r>
          </w:p>
          <w:p w:rsidR="00FA385E" w:rsidRDefault="00FA385E" w:rsidP="00723E1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provide coaching, mentoring and induction of teachers, other than NQT and trainee teachers, in order to improve teaching practice.</w:t>
            </w:r>
          </w:p>
          <w:p w:rsidR="00FA385E" w:rsidRDefault="00FA385E" w:rsidP="00723E1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work alongside colleagues, to guide and advise on practice which ensures the best possible progression for students</w:t>
            </w:r>
          </w:p>
          <w:p w:rsidR="00FA385E" w:rsidRDefault="00512991" w:rsidP="00723E1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observe teaching practice and provide feedback to improve the quality of teaching across the school</w:t>
            </w:r>
          </w:p>
          <w:p w:rsidR="00512991" w:rsidRDefault="00512991" w:rsidP="00723E1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provide in-class professional development for teachers through modelling excellent practice</w:t>
            </w:r>
          </w:p>
          <w:p w:rsidR="00FA385E" w:rsidRDefault="00767949" w:rsidP="00723E1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scrutinise teachers’ planning and marking in order to give constructive feedback for improvement</w:t>
            </w:r>
          </w:p>
          <w:p w:rsidR="00FA385E" w:rsidRDefault="00767949" w:rsidP="00723E1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advise teachers on the effective deployment of additional adults in the classroom for the best impact on student outcomes</w:t>
            </w:r>
          </w:p>
          <w:p w:rsidR="00FA385E" w:rsidRDefault="00A50EB8" w:rsidP="00723E1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c</w:t>
            </w:r>
            <w:r w:rsidR="00767949">
              <w:rPr>
                <w:sz w:val="22"/>
                <w:szCs w:val="22"/>
              </w:rPr>
              <w:t>ontribute to the development of ongoing training and staff development activities which improve teacher practice in the classroom.</w:t>
            </w:r>
          </w:p>
          <w:p w:rsidR="00FA385E" w:rsidRDefault="001D3F5A" w:rsidP="00723E1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p</w:t>
            </w:r>
            <w:r w:rsidR="00767949">
              <w:rPr>
                <w:sz w:val="22"/>
                <w:szCs w:val="22"/>
              </w:rPr>
              <w:t>rovide advice on practice, research and CPDL teaching practice provision</w:t>
            </w:r>
          </w:p>
          <w:p w:rsidR="00F22C48" w:rsidRPr="001D3F5A" w:rsidRDefault="00F22C48" w:rsidP="00723E1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05C24">
              <w:rPr>
                <w:sz w:val="22"/>
                <w:szCs w:val="22"/>
              </w:rPr>
              <w:lastRenderedPageBreak/>
              <w:t>To provide support for teachers, other than NQTs or trainees, whose teaching requires improvement</w:t>
            </w:r>
            <w:r w:rsidR="001D3F5A">
              <w:rPr>
                <w:sz w:val="22"/>
                <w:szCs w:val="22"/>
              </w:rPr>
              <w:t xml:space="preserve"> and those being supported through the Getting to Good programme or through </w:t>
            </w:r>
            <w:r w:rsidR="00E42664">
              <w:rPr>
                <w:sz w:val="22"/>
                <w:szCs w:val="22"/>
              </w:rPr>
              <w:t>capability</w:t>
            </w:r>
            <w:r w:rsidR="00E42664" w:rsidRPr="001D3F5A">
              <w:rPr>
                <w:sz w:val="22"/>
                <w:szCs w:val="22"/>
              </w:rPr>
              <w:t xml:space="preserve"> –</w:t>
            </w:r>
            <w:r w:rsidRPr="001D3F5A">
              <w:rPr>
                <w:sz w:val="22"/>
                <w:szCs w:val="22"/>
              </w:rPr>
              <w:t xml:space="preserve"> audit skills against teacher standards, develop action plans for improvement, provide support, review and report on progress</w:t>
            </w:r>
            <w:r w:rsidR="00E42664" w:rsidRPr="001D3F5A">
              <w:rPr>
                <w:sz w:val="22"/>
                <w:szCs w:val="22"/>
              </w:rPr>
              <w:t>. (</w:t>
            </w:r>
            <w:r w:rsidRPr="001D3F5A">
              <w:rPr>
                <w:sz w:val="22"/>
                <w:szCs w:val="22"/>
              </w:rPr>
              <w:t>Examples of support may include: joint planning, team teaching, two-way observation, development of improvement targets and reviewing progress.)</w:t>
            </w:r>
          </w:p>
          <w:p w:rsidR="00F22C48" w:rsidRPr="00505C24" w:rsidRDefault="00F22C48" w:rsidP="00F22C48">
            <w:pPr>
              <w:rPr>
                <w:sz w:val="22"/>
                <w:szCs w:val="22"/>
              </w:rPr>
            </w:pPr>
          </w:p>
          <w:p w:rsidR="00CB2762" w:rsidRPr="00CB2762" w:rsidRDefault="00CB2762" w:rsidP="00F05974">
            <w:pPr>
              <w:rPr>
                <w:sz w:val="22"/>
                <w:szCs w:val="22"/>
              </w:rPr>
            </w:pPr>
          </w:p>
        </w:tc>
      </w:tr>
    </w:tbl>
    <w:p w:rsidR="00F15BE2" w:rsidRDefault="00F15BE2">
      <w:pPr>
        <w:rPr>
          <w:sz w:val="24"/>
          <w:szCs w:val="24"/>
        </w:rPr>
      </w:pPr>
    </w:p>
    <w:p w:rsidR="00505C24" w:rsidRDefault="00505C24" w:rsidP="00505C24">
      <w:pPr>
        <w:pStyle w:val="Default"/>
        <w:rPr>
          <w:rFonts w:ascii="Times New Roman" w:hAnsi="Times New Roman" w:cs="Times New Roman"/>
          <w:b/>
          <w:i/>
          <w:sz w:val="22"/>
          <w:szCs w:val="22"/>
        </w:rPr>
      </w:pPr>
    </w:p>
    <w:p w:rsidR="00505C24" w:rsidRPr="00726486" w:rsidRDefault="00505C24" w:rsidP="00505C24">
      <w:pPr>
        <w:pStyle w:val="Default"/>
        <w:rPr>
          <w:rFonts w:ascii="Times New Roman" w:hAnsi="Times New Roman" w:cs="Times New Roman"/>
          <w:b/>
          <w:i/>
          <w:sz w:val="22"/>
          <w:szCs w:val="22"/>
        </w:rPr>
      </w:pPr>
      <w:r w:rsidRPr="00726486">
        <w:rPr>
          <w:rFonts w:ascii="Times New Roman" w:hAnsi="Times New Roman" w:cs="Times New Roman"/>
          <w:b/>
          <w:i/>
          <w:sz w:val="22"/>
          <w:szCs w:val="22"/>
        </w:rPr>
        <w:t xml:space="preserve">Whilst every effort has been made to explain the main duties and responsibilities for the post, each individual task undertaken may not be identified, especially in the context of a developing school which requires flexibility in all of its employees. This job description is current at the date shown but, in consultation with the </w:t>
      </w:r>
      <w:proofErr w:type="spellStart"/>
      <w:r w:rsidRPr="00726486">
        <w:rPr>
          <w:rFonts w:ascii="Times New Roman" w:hAnsi="Times New Roman" w:cs="Times New Roman"/>
          <w:b/>
          <w:i/>
          <w:sz w:val="22"/>
          <w:szCs w:val="22"/>
        </w:rPr>
        <w:t>postholder</w:t>
      </w:r>
      <w:proofErr w:type="spellEnd"/>
      <w:r w:rsidRPr="00726486">
        <w:rPr>
          <w:rFonts w:ascii="Times New Roman" w:hAnsi="Times New Roman" w:cs="Times New Roman"/>
          <w:b/>
          <w:i/>
          <w:sz w:val="22"/>
          <w:szCs w:val="22"/>
        </w:rPr>
        <w:t xml:space="preserve">, may be changed by the Headteacher to reflect or anticipate changes in the job commensurate with the grade and job title. </w:t>
      </w:r>
    </w:p>
    <w:p w:rsidR="00505C24" w:rsidRDefault="00505C24" w:rsidP="00505C24">
      <w:pPr>
        <w:spacing w:line="200" w:lineRule="exact"/>
        <w:rPr>
          <w:b/>
          <w:i/>
        </w:rPr>
      </w:pPr>
    </w:p>
    <w:p w:rsidR="00900265" w:rsidRDefault="00900265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</w:p>
    <w:p w:rsidR="00E42664" w:rsidRDefault="00E42664">
      <w:pPr>
        <w:rPr>
          <w:sz w:val="24"/>
          <w:szCs w:val="24"/>
        </w:rPr>
      </w:pPr>
      <w:bookmarkStart w:id="0" w:name="_GoBack"/>
      <w:bookmarkEnd w:id="0"/>
    </w:p>
    <w:sectPr w:rsidR="00E42664" w:rsidSect="002F0AE6">
      <w:pgSz w:w="11909" w:h="16834"/>
      <w:pgMar w:top="284" w:right="864" w:bottom="284" w:left="86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lack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2B69"/>
    <w:multiLevelType w:val="hybridMultilevel"/>
    <w:tmpl w:val="8B92C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41"/>
    <w:rsid w:val="00083F7F"/>
    <w:rsid w:val="000A6FAF"/>
    <w:rsid w:val="000A77BA"/>
    <w:rsid w:val="000C68E7"/>
    <w:rsid w:val="00121E1C"/>
    <w:rsid w:val="001277FF"/>
    <w:rsid w:val="001324AA"/>
    <w:rsid w:val="00133558"/>
    <w:rsid w:val="001374EC"/>
    <w:rsid w:val="001401C6"/>
    <w:rsid w:val="001531B6"/>
    <w:rsid w:val="00173333"/>
    <w:rsid w:val="001D3F5A"/>
    <w:rsid w:val="0020115E"/>
    <w:rsid w:val="0024227A"/>
    <w:rsid w:val="00257526"/>
    <w:rsid w:val="00276FFE"/>
    <w:rsid w:val="00283FAD"/>
    <w:rsid w:val="00297ECC"/>
    <w:rsid w:val="002A28AB"/>
    <w:rsid w:val="002D10D9"/>
    <w:rsid w:val="002E0554"/>
    <w:rsid w:val="002E4D0A"/>
    <w:rsid w:val="002F0AE6"/>
    <w:rsid w:val="0030097C"/>
    <w:rsid w:val="003208FA"/>
    <w:rsid w:val="00360D65"/>
    <w:rsid w:val="00360F5F"/>
    <w:rsid w:val="0037674C"/>
    <w:rsid w:val="003A5666"/>
    <w:rsid w:val="003B2CFA"/>
    <w:rsid w:val="0042206D"/>
    <w:rsid w:val="00454256"/>
    <w:rsid w:val="00463B32"/>
    <w:rsid w:val="00471B43"/>
    <w:rsid w:val="004B4BB1"/>
    <w:rsid w:val="004D4CC9"/>
    <w:rsid w:val="004D4EC9"/>
    <w:rsid w:val="004F6DA7"/>
    <w:rsid w:val="00505C24"/>
    <w:rsid w:val="00512991"/>
    <w:rsid w:val="00552241"/>
    <w:rsid w:val="0056426C"/>
    <w:rsid w:val="0059178E"/>
    <w:rsid w:val="00594D67"/>
    <w:rsid w:val="005D647B"/>
    <w:rsid w:val="005E4FAA"/>
    <w:rsid w:val="00646F39"/>
    <w:rsid w:val="00677C62"/>
    <w:rsid w:val="00690C18"/>
    <w:rsid w:val="006B2F19"/>
    <w:rsid w:val="007009B7"/>
    <w:rsid w:val="00701FB0"/>
    <w:rsid w:val="00716B73"/>
    <w:rsid w:val="00723E16"/>
    <w:rsid w:val="00762359"/>
    <w:rsid w:val="00767949"/>
    <w:rsid w:val="00780D54"/>
    <w:rsid w:val="00791120"/>
    <w:rsid w:val="007973F5"/>
    <w:rsid w:val="007E7CAF"/>
    <w:rsid w:val="007F0CDD"/>
    <w:rsid w:val="007F2D36"/>
    <w:rsid w:val="00810DF3"/>
    <w:rsid w:val="00822F40"/>
    <w:rsid w:val="00843CE0"/>
    <w:rsid w:val="00863198"/>
    <w:rsid w:val="00877BA4"/>
    <w:rsid w:val="00883D52"/>
    <w:rsid w:val="008D60DF"/>
    <w:rsid w:val="00900265"/>
    <w:rsid w:val="009121C5"/>
    <w:rsid w:val="00915C02"/>
    <w:rsid w:val="00931997"/>
    <w:rsid w:val="009A3A77"/>
    <w:rsid w:val="009B2710"/>
    <w:rsid w:val="00A05770"/>
    <w:rsid w:val="00A1491D"/>
    <w:rsid w:val="00A20EBF"/>
    <w:rsid w:val="00A23222"/>
    <w:rsid w:val="00A24BBC"/>
    <w:rsid w:val="00A27431"/>
    <w:rsid w:val="00A335D3"/>
    <w:rsid w:val="00A4415F"/>
    <w:rsid w:val="00A50EB8"/>
    <w:rsid w:val="00A57CE1"/>
    <w:rsid w:val="00A80393"/>
    <w:rsid w:val="00A95432"/>
    <w:rsid w:val="00A97E08"/>
    <w:rsid w:val="00AC082E"/>
    <w:rsid w:val="00AC65A6"/>
    <w:rsid w:val="00AF545F"/>
    <w:rsid w:val="00B41BA6"/>
    <w:rsid w:val="00B879E2"/>
    <w:rsid w:val="00B9289A"/>
    <w:rsid w:val="00BA5290"/>
    <w:rsid w:val="00BB7516"/>
    <w:rsid w:val="00BC56A9"/>
    <w:rsid w:val="00BE0AEF"/>
    <w:rsid w:val="00C32314"/>
    <w:rsid w:val="00C34CD0"/>
    <w:rsid w:val="00C432DE"/>
    <w:rsid w:val="00C76C8C"/>
    <w:rsid w:val="00C83B80"/>
    <w:rsid w:val="00C8481D"/>
    <w:rsid w:val="00C920B2"/>
    <w:rsid w:val="00C96E26"/>
    <w:rsid w:val="00CA3FF3"/>
    <w:rsid w:val="00CB2338"/>
    <w:rsid w:val="00CB2762"/>
    <w:rsid w:val="00CC7AA9"/>
    <w:rsid w:val="00CE7756"/>
    <w:rsid w:val="00CF38E4"/>
    <w:rsid w:val="00D00467"/>
    <w:rsid w:val="00D0202F"/>
    <w:rsid w:val="00D574D6"/>
    <w:rsid w:val="00D672B6"/>
    <w:rsid w:val="00D76279"/>
    <w:rsid w:val="00DB0347"/>
    <w:rsid w:val="00DC710B"/>
    <w:rsid w:val="00DD6D0C"/>
    <w:rsid w:val="00DF3C57"/>
    <w:rsid w:val="00DF5CEF"/>
    <w:rsid w:val="00E16691"/>
    <w:rsid w:val="00E42664"/>
    <w:rsid w:val="00E7329F"/>
    <w:rsid w:val="00E87506"/>
    <w:rsid w:val="00ED1F9F"/>
    <w:rsid w:val="00ED39B2"/>
    <w:rsid w:val="00F05974"/>
    <w:rsid w:val="00F12C0C"/>
    <w:rsid w:val="00F15BE2"/>
    <w:rsid w:val="00F22C48"/>
    <w:rsid w:val="00F5183A"/>
    <w:rsid w:val="00F93746"/>
    <w:rsid w:val="00FA385E"/>
    <w:rsid w:val="00FB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596BC-160D-4010-8C3D-7D1D51CE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F3"/>
  </w:style>
  <w:style w:type="paragraph" w:styleId="Heading1">
    <w:name w:val="heading 1"/>
    <w:basedOn w:val="Normal"/>
    <w:next w:val="Normal"/>
    <w:qFormat/>
    <w:rsid w:val="00CA3FF3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CA3FF3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CA3FF3"/>
    <w:pPr>
      <w:keepNext/>
      <w:outlineLvl w:val="2"/>
    </w:pPr>
    <w:rPr>
      <w:rFonts w:ascii="Arial MT Black" w:hAnsi="Arial MT Black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5C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265"/>
    <w:pPr>
      <w:ind w:left="720"/>
    </w:pPr>
  </w:style>
  <w:style w:type="paragraph" w:styleId="Title">
    <w:name w:val="Title"/>
    <w:basedOn w:val="Normal"/>
    <w:link w:val="TitleChar"/>
    <w:qFormat/>
    <w:rsid w:val="00900265"/>
    <w:pPr>
      <w:jc w:val="center"/>
    </w:pPr>
    <w:rPr>
      <w:rFonts w:ascii="Times" w:hAnsi="Times"/>
      <w:b/>
      <w:u w:val="single"/>
      <w:lang w:val="en-US" w:eastAsia="en-US"/>
    </w:rPr>
  </w:style>
  <w:style w:type="character" w:customStyle="1" w:styleId="TitleChar">
    <w:name w:val="Title Char"/>
    <w:link w:val="Title"/>
    <w:rsid w:val="00900265"/>
    <w:rPr>
      <w:rFonts w:ascii="Times" w:hAnsi="Times"/>
      <w:b/>
      <w:u w:val="single"/>
      <w:lang w:eastAsia="en-US"/>
    </w:rPr>
  </w:style>
  <w:style w:type="paragraph" w:styleId="BodyText3">
    <w:name w:val="Body Text 3"/>
    <w:basedOn w:val="Normal"/>
    <w:link w:val="BodyText3Char"/>
    <w:rsid w:val="00900265"/>
    <w:pPr>
      <w:jc w:val="both"/>
    </w:pPr>
    <w:rPr>
      <w:rFonts w:ascii="Comic Sans MS" w:hAnsi="Comic Sans MS"/>
      <w:sz w:val="22"/>
      <w:lang w:val="en-US" w:eastAsia="en-US"/>
    </w:rPr>
  </w:style>
  <w:style w:type="character" w:customStyle="1" w:styleId="BodyText3Char">
    <w:name w:val="Body Text 3 Char"/>
    <w:link w:val="BodyText3"/>
    <w:rsid w:val="00900265"/>
    <w:rPr>
      <w:rFonts w:ascii="Comic Sans MS" w:hAnsi="Comic Sans MS"/>
      <w:sz w:val="22"/>
      <w:lang w:eastAsia="en-US"/>
    </w:rPr>
  </w:style>
  <w:style w:type="paragraph" w:customStyle="1" w:styleId="Default">
    <w:name w:val="Default"/>
    <w:rsid w:val="00505C2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semiHidden/>
    <w:unhideWhenUsed/>
    <w:rsid w:val="00E42664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E42664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E42664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42664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42664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42664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42664"/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E426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6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E4266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4266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87A7AE3F</Template>
  <TotalTime>0</TotalTime>
  <Pages>3</Pages>
  <Words>580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</vt:lpstr>
    </vt:vector>
  </TitlesOfParts>
  <Company>WBC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</dc:title>
  <dc:subject/>
  <dc:creator>MGraham</dc:creator>
  <cp:keywords/>
  <cp:lastModifiedBy>Mrs. N. Kenyon</cp:lastModifiedBy>
  <cp:revision>2</cp:revision>
  <cp:lastPrinted>2012-07-09T13:49:00Z</cp:lastPrinted>
  <dcterms:created xsi:type="dcterms:W3CDTF">2017-03-16T10:40:00Z</dcterms:created>
  <dcterms:modified xsi:type="dcterms:W3CDTF">2017-03-16T10:40:00Z</dcterms:modified>
</cp:coreProperties>
</file>