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6276" w14:textId="77777777" w:rsidR="00971FC5" w:rsidRDefault="00F13D43">
      <w:pPr>
        <w:jc w:val="center"/>
        <w:rPr>
          <w:rFonts w:ascii="ITC Stone Sans Std Medium" w:eastAsia="ITC Stone Sans Std Medium" w:hAnsi="ITC Stone Sans Std Medium" w:cs="ITC Stone Sans Std Medium"/>
          <w:sz w:val="24"/>
          <w:szCs w:val="24"/>
        </w:rPr>
      </w:pPr>
      <w:r>
        <w:rPr>
          <w:rFonts w:ascii="ITC Stone Sans Std Medium" w:eastAsia="ITC Stone Sans Std Medium" w:hAnsi="ITC Stone Sans Std Medium" w:cs="ITC Stone Sans Std Medium"/>
          <w:b/>
          <w:sz w:val="24"/>
          <w:szCs w:val="24"/>
        </w:rPr>
        <w:t>Job Description</w:t>
      </w:r>
    </w:p>
    <w:tbl>
      <w:tblPr>
        <w:tblStyle w:val="a"/>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260"/>
        <w:gridCol w:w="1843"/>
        <w:gridCol w:w="3260"/>
      </w:tblGrid>
      <w:tr w:rsidR="00971FC5" w14:paraId="2C387DA4" w14:textId="77777777" w:rsidTr="009E5405">
        <w:trPr>
          <w:trHeight w:val="420"/>
        </w:trPr>
        <w:tc>
          <w:tcPr>
            <w:tcW w:w="2122" w:type="dxa"/>
            <w:shd w:val="clear" w:color="auto" w:fill="385623"/>
            <w:vAlign w:val="center"/>
          </w:tcPr>
          <w:p w14:paraId="073B0B8F" w14:textId="77777777" w:rsidR="00971FC5" w:rsidRDefault="00F13D43">
            <w:pPr>
              <w:spacing w:after="0" w:line="240" w:lineRule="auto"/>
              <w:rPr>
                <w:b/>
                <w:color w:val="FFFFFF"/>
              </w:rPr>
            </w:pPr>
            <w:r>
              <w:rPr>
                <w:b/>
                <w:color w:val="FFFFFF"/>
              </w:rPr>
              <w:t>Job title</w:t>
            </w:r>
          </w:p>
        </w:tc>
        <w:tc>
          <w:tcPr>
            <w:tcW w:w="3260" w:type="dxa"/>
            <w:shd w:val="clear" w:color="auto" w:fill="FFFFFF"/>
            <w:vAlign w:val="center"/>
          </w:tcPr>
          <w:p w14:paraId="7F371363" w14:textId="77777777" w:rsidR="00971FC5" w:rsidRDefault="00F13D43">
            <w:pPr>
              <w:spacing w:after="0" w:line="240" w:lineRule="auto"/>
            </w:pPr>
            <w:r>
              <w:t>Head of Secondary</w:t>
            </w:r>
          </w:p>
        </w:tc>
        <w:tc>
          <w:tcPr>
            <w:tcW w:w="1843" w:type="dxa"/>
            <w:shd w:val="clear" w:color="auto" w:fill="385623"/>
            <w:vAlign w:val="center"/>
          </w:tcPr>
          <w:p w14:paraId="7EEFB4C3" w14:textId="77777777" w:rsidR="00971FC5" w:rsidRDefault="00F13D43">
            <w:pPr>
              <w:spacing w:after="0" w:line="240" w:lineRule="auto"/>
              <w:rPr>
                <w:b/>
                <w:color w:val="FFFFFF"/>
              </w:rPr>
            </w:pPr>
            <w:r>
              <w:rPr>
                <w:b/>
                <w:color w:val="FFFFFF"/>
              </w:rPr>
              <w:t>Department</w:t>
            </w:r>
          </w:p>
        </w:tc>
        <w:tc>
          <w:tcPr>
            <w:tcW w:w="3260" w:type="dxa"/>
            <w:shd w:val="clear" w:color="auto" w:fill="FFFFFF"/>
            <w:vAlign w:val="center"/>
          </w:tcPr>
          <w:p w14:paraId="4CF69ED7" w14:textId="77777777" w:rsidR="00971FC5" w:rsidRDefault="00F13D43">
            <w:pPr>
              <w:spacing w:after="0" w:line="240" w:lineRule="auto"/>
              <w:rPr>
                <w:color w:val="000000"/>
              </w:rPr>
            </w:pPr>
            <w:r>
              <w:t>Secondary</w:t>
            </w:r>
          </w:p>
        </w:tc>
      </w:tr>
      <w:tr w:rsidR="00971FC5" w14:paraId="3C9094EF" w14:textId="77777777" w:rsidTr="009E5405">
        <w:trPr>
          <w:trHeight w:val="420"/>
        </w:trPr>
        <w:tc>
          <w:tcPr>
            <w:tcW w:w="2122" w:type="dxa"/>
            <w:shd w:val="clear" w:color="auto" w:fill="385623"/>
            <w:vAlign w:val="center"/>
          </w:tcPr>
          <w:p w14:paraId="0E38C6C3" w14:textId="77777777" w:rsidR="00971FC5" w:rsidRDefault="00F13D43">
            <w:pPr>
              <w:spacing w:after="0" w:line="240" w:lineRule="auto"/>
              <w:rPr>
                <w:b/>
                <w:color w:val="FFFFFF"/>
              </w:rPr>
            </w:pPr>
            <w:r>
              <w:rPr>
                <w:b/>
                <w:color w:val="FFFFFF"/>
              </w:rPr>
              <w:t>Head Office/School</w:t>
            </w:r>
          </w:p>
        </w:tc>
        <w:tc>
          <w:tcPr>
            <w:tcW w:w="3260" w:type="dxa"/>
            <w:shd w:val="clear" w:color="auto" w:fill="FFFFFF"/>
            <w:vAlign w:val="center"/>
          </w:tcPr>
          <w:p w14:paraId="332DD393" w14:textId="77777777" w:rsidR="00971FC5" w:rsidRDefault="00F13D43">
            <w:pPr>
              <w:spacing w:after="0" w:line="240" w:lineRule="auto"/>
              <w:rPr>
                <w:color w:val="000000"/>
              </w:rPr>
            </w:pPr>
            <w:r>
              <w:rPr>
                <w:color w:val="000000"/>
              </w:rPr>
              <w:t>MCHK</w:t>
            </w:r>
          </w:p>
        </w:tc>
        <w:tc>
          <w:tcPr>
            <w:tcW w:w="1843" w:type="dxa"/>
            <w:shd w:val="clear" w:color="auto" w:fill="385623"/>
            <w:vAlign w:val="center"/>
          </w:tcPr>
          <w:p w14:paraId="001A72BE" w14:textId="77777777" w:rsidR="00971FC5" w:rsidRDefault="00F13D43">
            <w:pPr>
              <w:spacing w:after="0" w:line="240" w:lineRule="auto"/>
              <w:rPr>
                <w:color w:val="FFFFFF"/>
              </w:rPr>
            </w:pPr>
            <w:r>
              <w:rPr>
                <w:b/>
                <w:color w:val="FFFFFF"/>
              </w:rPr>
              <w:t>Service location</w:t>
            </w:r>
          </w:p>
        </w:tc>
        <w:tc>
          <w:tcPr>
            <w:tcW w:w="3260" w:type="dxa"/>
            <w:shd w:val="clear" w:color="auto" w:fill="FFFFFF"/>
            <w:vAlign w:val="center"/>
          </w:tcPr>
          <w:p w14:paraId="11B08951" w14:textId="77777777" w:rsidR="00971FC5" w:rsidRDefault="00F13D43">
            <w:pPr>
              <w:spacing w:after="0" w:line="240" w:lineRule="auto"/>
            </w:pPr>
            <w:r>
              <w:t>Tai Po</w:t>
            </w:r>
          </w:p>
        </w:tc>
      </w:tr>
      <w:tr w:rsidR="00971FC5" w14:paraId="4A62049E" w14:textId="77777777" w:rsidTr="009E5405">
        <w:trPr>
          <w:trHeight w:val="420"/>
        </w:trPr>
        <w:tc>
          <w:tcPr>
            <w:tcW w:w="2122" w:type="dxa"/>
            <w:shd w:val="clear" w:color="auto" w:fill="385623"/>
            <w:vAlign w:val="center"/>
          </w:tcPr>
          <w:p w14:paraId="11AE78FD" w14:textId="77777777" w:rsidR="00971FC5" w:rsidRDefault="00F13D43">
            <w:pPr>
              <w:spacing w:after="0" w:line="240" w:lineRule="auto"/>
              <w:rPr>
                <w:b/>
                <w:color w:val="FFFFFF"/>
              </w:rPr>
            </w:pPr>
            <w:r>
              <w:rPr>
                <w:b/>
                <w:color w:val="FFFFFF"/>
              </w:rPr>
              <w:t>Reporting line</w:t>
            </w:r>
          </w:p>
        </w:tc>
        <w:tc>
          <w:tcPr>
            <w:tcW w:w="3260" w:type="dxa"/>
            <w:shd w:val="clear" w:color="auto" w:fill="FFFFFF"/>
            <w:vAlign w:val="center"/>
          </w:tcPr>
          <w:p w14:paraId="6D6437A2" w14:textId="77777777" w:rsidR="00971FC5" w:rsidRDefault="00F13D43">
            <w:pPr>
              <w:spacing w:after="0" w:line="240" w:lineRule="auto"/>
              <w:rPr>
                <w:color w:val="000000"/>
              </w:rPr>
            </w:pPr>
            <w:r>
              <w:rPr>
                <w:color w:val="000000"/>
              </w:rPr>
              <w:t>Headmaster</w:t>
            </w:r>
          </w:p>
        </w:tc>
        <w:tc>
          <w:tcPr>
            <w:tcW w:w="1843" w:type="dxa"/>
            <w:shd w:val="clear" w:color="auto" w:fill="385623"/>
            <w:vAlign w:val="center"/>
          </w:tcPr>
          <w:p w14:paraId="38B724C2" w14:textId="77777777" w:rsidR="00971FC5" w:rsidRDefault="00F13D43">
            <w:pPr>
              <w:spacing w:after="0" w:line="240" w:lineRule="auto"/>
              <w:rPr>
                <w:b/>
                <w:color w:val="FFFFFF"/>
              </w:rPr>
            </w:pPr>
            <w:r>
              <w:rPr>
                <w:b/>
                <w:color w:val="FFFFFF"/>
              </w:rPr>
              <w:t>Effective date</w:t>
            </w:r>
          </w:p>
        </w:tc>
        <w:tc>
          <w:tcPr>
            <w:tcW w:w="3260" w:type="dxa"/>
            <w:shd w:val="clear" w:color="auto" w:fill="FFFFFF"/>
            <w:vAlign w:val="center"/>
          </w:tcPr>
          <w:p w14:paraId="6509F752" w14:textId="77777777" w:rsidR="00971FC5" w:rsidRDefault="00F13D43">
            <w:pPr>
              <w:spacing w:after="0" w:line="240" w:lineRule="auto"/>
              <w:rPr>
                <w:color w:val="000000"/>
              </w:rPr>
            </w:pPr>
            <w:r>
              <w:rPr>
                <w:color w:val="000000"/>
              </w:rPr>
              <w:t>August 20</w:t>
            </w:r>
            <w:r>
              <w:t>20</w:t>
            </w:r>
          </w:p>
        </w:tc>
      </w:tr>
    </w:tbl>
    <w:p w14:paraId="2D57F698" w14:textId="77777777" w:rsidR="00971FC5" w:rsidRDefault="00971FC5">
      <w:pPr>
        <w:spacing w:after="120"/>
      </w:pPr>
    </w:p>
    <w:tbl>
      <w:tblPr>
        <w:tblStyle w:val="a0"/>
        <w:tblW w:w="10485"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22"/>
        <w:gridCol w:w="8363"/>
      </w:tblGrid>
      <w:tr w:rsidR="00971FC5" w14:paraId="52DA338C" w14:textId="77777777" w:rsidTr="009E5405">
        <w:trPr>
          <w:trHeight w:val="320"/>
        </w:trPr>
        <w:tc>
          <w:tcPr>
            <w:tcW w:w="10485" w:type="dxa"/>
            <w:gridSpan w:val="2"/>
            <w:tcBorders>
              <w:top w:val="single" w:sz="4" w:space="0" w:color="auto"/>
              <w:left w:val="single" w:sz="4" w:space="0" w:color="auto"/>
              <w:bottom w:val="single" w:sz="4" w:space="0" w:color="auto"/>
              <w:right w:val="single" w:sz="4" w:space="0" w:color="auto"/>
            </w:tcBorders>
            <w:shd w:val="clear" w:color="auto" w:fill="385623"/>
            <w:vAlign w:val="center"/>
          </w:tcPr>
          <w:p w14:paraId="229BECDA" w14:textId="77777777" w:rsidR="00971FC5" w:rsidRDefault="00F13D43">
            <w:pPr>
              <w:spacing w:after="0" w:line="240" w:lineRule="auto"/>
              <w:rPr>
                <w:b/>
                <w:color w:val="FFFFFF"/>
              </w:rPr>
            </w:pPr>
            <w:r>
              <w:rPr>
                <w:b/>
                <w:color w:val="FFFFFF"/>
              </w:rPr>
              <w:t>Roles and Responsibilities</w:t>
            </w:r>
          </w:p>
        </w:tc>
      </w:tr>
      <w:tr w:rsidR="00971FC5" w14:paraId="693697A0" w14:textId="77777777" w:rsidTr="009E5405">
        <w:trPr>
          <w:trHeight w:val="1060"/>
        </w:trPr>
        <w:tc>
          <w:tcPr>
            <w:tcW w:w="2122" w:type="dxa"/>
            <w:tcBorders>
              <w:top w:val="single" w:sz="4" w:space="0" w:color="auto"/>
              <w:left w:val="single" w:sz="4" w:space="0" w:color="auto"/>
              <w:bottom w:val="single" w:sz="4" w:space="0" w:color="auto"/>
              <w:right w:val="single" w:sz="4" w:space="0" w:color="auto"/>
            </w:tcBorders>
            <w:shd w:val="clear" w:color="auto" w:fill="D9D9D9"/>
          </w:tcPr>
          <w:p w14:paraId="17F85F39" w14:textId="77777777" w:rsidR="00971FC5" w:rsidRDefault="00F13D43">
            <w:pPr>
              <w:spacing w:line="240" w:lineRule="auto"/>
              <w:rPr>
                <w:b/>
              </w:rPr>
            </w:pPr>
            <w:r>
              <w:rPr>
                <w:b/>
              </w:rPr>
              <w:t xml:space="preserve">Job </w:t>
            </w:r>
            <w:r>
              <w:rPr>
                <w:b/>
                <w:shd w:val="clear" w:color="auto" w:fill="D9D9D9"/>
              </w:rPr>
              <w:t>Purpose</w:t>
            </w: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2E69CD9F" w14:textId="69391824" w:rsidR="00971FC5" w:rsidRDefault="00F13D43">
            <w:pPr>
              <w:spacing w:line="240" w:lineRule="auto"/>
              <w:jc w:val="both"/>
            </w:pPr>
            <w:r>
              <w:t>The Head of Secondary is a member of the school’s Senior Management Team and is responsible for overseeing the day-to-day operations in the secondary</w:t>
            </w:r>
            <w:r w:rsidR="007A021A">
              <w:t xml:space="preserve"> department.</w:t>
            </w:r>
            <w:r>
              <w:t xml:space="preserve">  The Head of Secondary works closely with the Headmaster, Deputy Head and Head of Primary to ensure the strategic direction of the secondary section is aligned and to ensure continuity and consistency across the primary and secondary departments. The Head of Secondary works closely with the MYP and DP Coordinators to oversee curriculum implementation and delivery and monitoring of learning and teaching, together with the Senior </w:t>
            </w:r>
            <w:proofErr w:type="spellStart"/>
            <w:r>
              <w:t>Housem</w:t>
            </w:r>
            <w:proofErr w:type="spellEnd"/>
            <w:r>
              <w:t xml:space="preserve"> where pastoral matters are concerned.  Central to the role as Head of Secondary is the leadership, management and guidance of the secondary teachers who are collectively responsible for pupil learning and welfare in accordance with school policies.</w:t>
            </w:r>
          </w:p>
          <w:p w14:paraId="2C022448" w14:textId="0E9089BC" w:rsidR="00971FC5" w:rsidRDefault="00F13D43">
            <w:pPr>
              <w:spacing w:line="240" w:lineRule="auto"/>
              <w:jc w:val="both"/>
            </w:pPr>
            <w:r>
              <w:t xml:space="preserve">The successful candidate must have the strategic vision, appreciation of the Malvern heritage, understanding of the IB MYP and DP </w:t>
            </w:r>
            <w:proofErr w:type="spellStart"/>
            <w:r>
              <w:t>programmes</w:t>
            </w:r>
            <w:proofErr w:type="spellEnd"/>
            <w:r>
              <w:t xml:space="preserve">, strong interpersonal and leadership skills and exceptional professionalism, to lead the continuing development and growth of the secondary department and establishment of MCHK as an outstanding British international school committed to </w:t>
            </w:r>
            <w:r w:rsidR="007A021A">
              <w:t>delivering</w:t>
            </w:r>
            <w:r>
              <w:t xml:space="preserve"> the Malvern ethos and vision. </w:t>
            </w:r>
          </w:p>
        </w:tc>
      </w:tr>
      <w:tr w:rsidR="00971FC5" w14:paraId="5FC2E304" w14:textId="77777777" w:rsidTr="009E5405">
        <w:trPr>
          <w:trHeight w:val="3980"/>
        </w:trPr>
        <w:tc>
          <w:tcPr>
            <w:tcW w:w="2122" w:type="dxa"/>
            <w:tcBorders>
              <w:top w:val="single" w:sz="4" w:space="0" w:color="auto"/>
              <w:left w:val="single" w:sz="4" w:space="0" w:color="auto"/>
              <w:bottom w:val="single" w:sz="4" w:space="0" w:color="auto"/>
              <w:right w:val="single" w:sz="4" w:space="0" w:color="auto"/>
            </w:tcBorders>
            <w:shd w:val="clear" w:color="auto" w:fill="D9D9D9"/>
          </w:tcPr>
          <w:p w14:paraId="6E63BB2D" w14:textId="77777777" w:rsidR="00971FC5" w:rsidRDefault="00F13D43">
            <w:pPr>
              <w:spacing w:line="240" w:lineRule="auto"/>
              <w:rPr>
                <w:b/>
              </w:rPr>
            </w:pPr>
            <w:r>
              <w:rPr>
                <w:b/>
              </w:rPr>
              <w:t>Main Duties and Responsibilities</w:t>
            </w:r>
          </w:p>
          <w:p w14:paraId="03109654" w14:textId="77777777" w:rsidR="00971FC5" w:rsidRDefault="00971FC5">
            <w:pPr>
              <w:spacing w:line="240" w:lineRule="auto"/>
              <w:rPr>
                <w:b/>
              </w:rPr>
            </w:pPr>
          </w:p>
          <w:p w14:paraId="2E63B410" w14:textId="77777777" w:rsidR="00971FC5" w:rsidRDefault="00971FC5">
            <w:pPr>
              <w:spacing w:line="240" w:lineRule="auto"/>
              <w:rPr>
                <w:b/>
              </w:rPr>
            </w:pPr>
          </w:p>
          <w:p w14:paraId="41FF8F59" w14:textId="77777777" w:rsidR="00971FC5" w:rsidRDefault="00971FC5">
            <w:pPr>
              <w:spacing w:line="240" w:lineRule="auto"/>
              <w:rPr>
                <w:b/>
              </w:rPr>
            </w:pPr>
          </w:p>
          <w:p w14:paraId="042B2965" w14:textId="77777777" w:rsidR="00971FC5" w:rsidRDefault="00971FC5">
            <w:pPr>
              <w:spacing w:line="240" w:lineRule="auto"/>
            </w:pPr>
          </w:p>
          <w:p w14:paraId="06DFB5ED" w14:textId="77777777" w:rsidR="00971FC5" w:rsidRDefault="00971FC5">
            <w:pPr>
              <w:spacing w:line="240" w:lineRule="auto"/>
            </w:pPr>
          </w:p>
          <w:p w14:paraId="4F52FB58" w14:textId="77777777" w:rsidR="00971FC5" w:rsidRDefault="00971FC5">
            <w:pPr>
              <w:spacing w:line="240" w:lineRule="auto"/>
            </w:pPr>
          </w:p>
          <w:p w14:paraId="3D814C4A" w14:textId="77777777" w:rsidR="00971FC5" w:rsidRDefault="00971FC5">
            <w:pPr>
              <w:spacing w:line="240" w:lineRule="auto"/>
            </w:pPr>
          </w:p>
          <w:p w14:paraId="24588D40" w14:textId="77777777" w:rsidR="00971FC5" w:rsidRDefault="00971FC5">
            <w:pPr>
              <w:spacing w:line="240" w:lineRule="auto"/>
              <w:ind w:firstLine="720"/>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14:paraId="742F85F9" w14:textId="77777777" w:rsidR="00971FC5" w:rsidRDefault="00F13D43">
            <w:pPr>
              <w:pBdr>
                <w:top w:val="nil"/>
                <w:left w:val="nil"/>
                <w:bottom w:val="nil"/>
                <w:right w:val="nil"/>
                <w:between w:val="nil"/>
              </w:pBdr>
              <w:spacing w:after="0" w:line="240" w:lineRule="auto"/>
              <w:rPr>
                <w:b/>
              </w:rPr>
            </w:pPr>
            <w:r>
              <w:rPr>
                <w:b/>
              </w:rPr>
              <w:t>Leadership and Management - general</w:t>
            </w:r>
          </w:p>
          <w:p w14:paraId="5E33845C" w14:textId="77777777" w:rsidR="00971FC5" w:rsidRDefault="00971FC5">
            <w:pPr>
              <w:pBdr>
                <w:top w:val="nil"/>
                <w:left w:val="nil"/>
                <w:bottom w:val="nil"/>
                <w:right w:val="nil"/>
                <w:between w:val="nil"/>
              </w:pBdr>
              <w:spacing w:after="0" w:line="240" w:lineRule="auto"/>
              <w:rPr>
                <w:b/>
              </w:rPr>
            </w:pPr>
          </w:p>
          <w:p w14:paraId="7969B4A1" w14:textId="77777777" w:rsidR="00971FC5" w:rsidRDefault="00F13D43">
            <w:pPr>
              <w:numPr>
                <w:ilvl w:val="0"/>
                <w:numId w:val="3"/>
              </w:numPr>
              <w:spacing w:after="0" w:line="240" w:lineRule="auto"/>
            </w:pPr>
            <w:r>
              <w:t>Oversee the smooth day to day running of the secondary department, including all operational matters such as cover and staff duties;</w:t>
            </w:r>
          </w:p>
          <w:p w14:paraId="67438450" w14:textId="77777777" w:rsidR="00971FC5" w:rsidRDefault="00F13D43">
            <w:pPr>
              <w:numPr>
                <w:ilvl w:val="0"/>
                <w:numId w:val="3"/>
              </w:numPr>
              <w:spacing w:after="0" w:line="240" w:lineRule="auto"/>
            </w:pPr>
            <w:r>
              <w:t>Lead and manage the team of secondary teachers;</w:t>
            </w:r>
          </w:p>
          <w:p w14:paraId="2437ECC5" w14:textId="77777777" w:rsidR="00971FC5" w:rsidRDefault="00F13D43">
            <w:pPr>
              <w:numPr>
                <w:ilvl w:val="0"/>
                <w:numId w:val="3"/>
              </w:numPr>
              <w:spacing w:after="0" w:line="240" w:lineRule="auto"/>
            </w:pPr>
            <w:r>
              <w:t>Represent the secondary department on the Senior Management Team;</w:t>
            </w:r>
          </w:p>
          <w:p w14:paraId="10831723" w14:textId="77777777" w:rsidR="00971FC5" w:rsidRDefault="00F13D43">
            <w:pPr>
              <w:numPr>
                <w:ilvl w:val="0"/>
                <w:numId w:val="3"/>
              </w:numPr>
              <w:pBdr>
                <w:top w:val="nil"/>
                <w:left w:val="nil"/>
                <w:bottom w:val="nil"/>
                <w:right w:val="nil"/>
                <w:between w:val="nil"/>
              </w:pBdr>
              <w:spacing w:after="0" w:line="276" w:lineRule="auto"/>
            </w:pPr>
            <w:r>
              <w:t>Ensure that procedures and schedules are implemented effectively and in line with the school’s ethos, vision and policies;</w:t>
            </w:r>
          </w:p>
          <w:p w14:paraId="101B5DD4" w14:textId="77777777" w:rsidR="00971FC5" w:rsidRDefault="00F13D43">
            <w:pPr>
              <w:numPr>
                <w:ilvl w:val="0"/>
                <w:numId w:val="3"/>
              </w:numPr>
              <w:spacing w:after="0" w:line="276" w:lineRule="auto"/>
            </w:pPr>
            <w:r>
              <w:t>Oversee the timetabling and staffing arrangements for secondary covering MYP and, in future, DP courses, ensuring efficiency in staffing levels is balanced with the needs of a developing school;</w:t>
            </w:r>
          </w:p>
          <w:p w14:paraId="04EB45C4" w14:textId="3C82C434" w:rsidR="00971FC5" w:rsidRDefault="00F13D43">
            <w:pPr>
              <w:numPr>
                <w:ilvl w:val="0"/>
                <w:numId w:val="3"/>
              </w:numPr>
              <w:spacing w:after="0" w:line="276" w:lineRule="auto"/>
            </w:pPr>
            <w:r>
              <w:t>Support the admissions procedures for new pupils working closely with the admissions team;</w:t>
            </w:r>
          </w:p>
          <w:p w14:paraId="50E02913" w14:textId="77777777" w:rsidR="00971FC5" w:rsidRDefault="00F13D43">
            <w:pPr>
              <w:numPr>
                <w:ilvl w:val="0"/>
                <w:numId w:val="3"/>
              </w:numPr>
              <w:spacing w:after="0" w:line="276" w:lineRule="auto"/>
            </w:pPr>
            <w:r>
              <w:t>Approve field trips for secondary and ensure all arrangements and documentation, including risk assessments, are completed;</w:t>
            </w:r>
          </w:p>
          <w:p w14:paraId="42949292" w14:textId="7FADC7CB" w:rsidR="00971FC5" w:rsidRDefault="00F13D43">
            <w:pPr>
              <w:numPr>
                <w:ilvl w:val="0"/>
                <w:numId w:val="3"/>
              </w:numPr>
              <w:spacing w:after="0" w:line="276" w:lineRule="auto"/>
            </w:pPr>
            <w:r>
              <w:t>Take oversight of the provision of materials, supplies and equipment required for learning and teaching in secondary and liaise with the Headmaster and subject leads over budgetary implications;</w:t>
            </w:r>
          </w:p>
          <w:p w14:paraId="58C7CE9E" w14:textId="77777777" w:rsidR="00971FC5" w:rsidRDefault="00F13D43">
            <w:pPr>
              <w:numPr>
                <w:ilvl w:val="0"/>
                <w:numId w:val="3"/>
              </w:numPr>
              <w:spacing w:after="0" w:line="276" w:lineRule="auto"/>
            </w:pPr>
            <w:r>
              <w:t>Explore and promote opportunities for pupils beyond the curriculum and beyond the confines of the school day to provide Malvern pupils with a truly holistic education in line with the school’s vision;</w:t>
            </w:r>
          </w:p>
          <w:p w14:paraId="044E6C9A" w14:textId="5A00B58E" w:rsidR="00971FC5" w:rsidRDefault="00F13D43">
            <w:pPr>
              <w:numPr>
                <w:ilvl w:val="0"/>
                <w:numId w:val="3"/>
              </w:numPr>
              <w:spacing w:after="0" w:line="276" w:lineRule="auto"/>
            </w:pPr>
            <w:r>
              <w:t xml:space="preserve">Play a lead role in the development of and leadership of </w:t>
            </w:r>
            <w:bookmarkStart w:id="0" w:name="_GoBack"/>
            <w:bookmarkEnd w:id="0"/>
            <w:r>
              <w:t xml:space="preserve">the Sixth Form </w:t>
            </w:r>
            <w:proofErr w:type="spellStart"/>
            <w:r>
              <w:t>programme</w:t>
            </w:r>
            <w:proofErr w:type="spellEnd"/>
            <w:r>
              <w:t xml:space="preserve"> for implementation in August 2021;</w:t>
            </w:r>
          </w:p>
          <w:p w14:paraId="4FA90452" w14:textId="1245B3F9" w:rsidR="00971FC5" w:rsidRDefault="00F13D43">
            <w:pPr>
              <w:numPr>
                <w:ilvl w:val="0"/>
                <w:numId w:val="3"/>
              </w:numPr>
              <w:spacing w:after="0" w:line="276" w:lineRule="auto"/>
            </w:pPr>
            <w:r>
              <w:lastRenderedPageBreak/>
              <w:t>Promote the integration of appropriate technologies to support effective learning and teaching and school operations;</w:t>
            </w:r>
          </w:p>
          <w:p w14:paraId="2217965B" w14:textId="77777777" w:rsidR="00971FC5" w:rsidRDefault="00F13D43">
            <w:pPr>
              <w:numPr>
                <w:ilvl w:val="0"/>
                <w:numId w:val="3"/>
              </w:numPr>
              <w:spacing w:after="0" w:line="276" w:lineRule="auto"/>
            </w:pPr>
            <w:r>
              <w:t>Explore the efficacy and appropriateness of evidence based new approaches to teaching and learning methodologies;</w:t>
            </w:r>
          </w:p>
          <w:p w14:paraId="7DEFEF5B" w14:textId="77777777" w:rsidR="00971FC5" w:rsidRDefault="00F13D43">
            <w:pPr>
              <w:numPr>
                <w:ilvl w:val="0"/>
                <w:numId w:val="3"/>
              </w:numPr>
              <w:spacing w:after="0" w:line="276" w:lineRule="auto"/>
            </w:pPr>
            <w:r>
              <w:t>Oversight of colleagues’ professional development balancing the needs of the school with individual interest and talents.</w:t>
            </w:r>
          </w:p>
          <w:p w14:paraId="78BE6F24" w14:textId="77777777" w:rsidR="00971FC5" w:rsidRDefault="00971FC5">
            <w:pPr>
              <w:pBdr>
                <w:top w:val="nil"/>
                <w:left w:val="nil"/>
                <w:bottom w:val="nil"/>
                <w:right w:val="nil"/>
                <w:between w:val="nil"/>
              </w:pBdr>
              <w:spacing w:after="0" w:line="276" w:lineRule="auto"/>
            </w:pPr>
          </w:p>
          <w:p w14:paraId="3CBAA64C" w14:textId="77777777" w:rsidR="00971FC5" w:rsidRDefault="00F13D43">
            <w:pPr>
              <w:pBdr>
                <w:top w:val="nil"/>
                <w:left w:val="nil"/>
                <w:bottom w:val="nil"/>
                <w:right w:val="nil"/>
                <w:between w:val="nil"/>
              </w:pBdr>
              <w:spacing w:after="0" w:line="276" w:lineRule="auto"/>
              <w:rPr>
                <w:b/>
              </w:rPr>
            </w:pPr>
            <w:r>
              <w:rPr>
                <w:b/>
              </w:rPr>
              <w:t>Leadership and Management of Pupils</w:t>
            </w:r>
          </w:p>
          <w:p w14:paraId="5F8A92F1" w14:textId="77777777" w:rsidR="00971FC5" w:rsidRDefault="00F13D43">
            <w:pPr>
              <w:numPr>
                <w:ilvl w:val="0"/>
                <w:numId w:val="3"/>
              </w:numPr>
              <w:spacing w:after="0" w:line="276" w:lineRule="auto"/>
            </w:pPr>
            <w:r>
              <w:t xml:space="preserve">Work closely with the Senior </w:t>
            </w:r>
            <w:proofErr w:type="spellStart"/>
            <w:r>
              <w:t>Housem</w:t>
            </w:r>
            <w:proofErr w:type="spellEnd"/>
            <w:r>
              <w:t>, Counsellor, tutors to ensure the pastoral needs of pupils are met, liaising with the Deputy Head (Designated Safeguarding Lead) as required;</w:t>
            </w:r>
          </w:p>
          <w:p w14:paraId="6233FF84" w14:textId="77777777" w:rsidR="00971FC5" w:rsidRDefault="00F13D43">
            <w:pPr>
              <w:numPr>
                <w:ilvl w:val="0"/>
                <w:numId w:val="3"/>
              </w:numPr>
              <w:spacing w:after="0" w:line="276" w:lineRule="auto"/>
            </w:pPr>
            <w:r>
              <w:t xml:space="preserve">Liaise between teachers and the Learning Enhancement department to provide a support </w:t>
            </w:r>
            <w:proofErr w:type="spellStart"/>
            <w:r>
              <w:t>programme</w:t>
            </w:r>
            <w:proofErr w:type="spellEnd"/>
            <w:r>
              <w:t xml:space="preserve"> for pupils with specific learning support or EAL needs;</w:t>
            </w:r>
          </w:p>
          <w:p w14:paraId="7FDE4E3B" w14:textId="77777777" w:rsidR="00971FC5" w:rsidRDefault="00F13D43">
            <w:pPr>
              <w:numPr>
                <w:ilvl w:val="0"/>
                <w:numId w:val="3"/>
              </w:numPr>
              <w:spacing w:after="0" w:line="276" w:lineRule="auto"/>
            </w:pPr>
            <w:r>
              <w:t xml:space="preserve">Take the lead in setting the expectations for secondary pupils in liaison with secondary colleagues, to ensure that expectations of </w:t>
            </w:r>
            <w:proofErr w:type="spellStart"/>
            <w:r>
              <w:t>behaviour</w:t>
            </w:r>
            <w:proofErr w:type="spellEnd"/>
            <w:r>
              <w:t xml:space="preserve">, manner, dress code and daily routine are clear; </w:t>
            </w:r>
          </w:p>
          <w:p w14:paraId="0E6C2120" w14:textId="77777777" w:rsidR="00971FC5" w:rsidRDefault="00F13D43">
            <w:pPr>
              <w:numPr>
                <w:ilvl w:val="0"/>
                <w:numId w:val="3"/>
              </w:numPr>
              <w:pBdr>
                <w:top w:val="nil"/>
                <w:left w:val="nil"/>
                <w:bottom w:val="nil"/>
                <w:right w:val="nil"/>
                <w:between w:val="nil"/>
              </w:pBdr>
              <w:spacing w:after="0" w:line="276" w:lineRule="auto"/>
            </w:pPr>
            <w:r>
              <w:t>Oversee the monitoring and tracking of secondary pupils to ensure that pupils are progressing and achieving in line with or above expectations;</w:t>
            </w:r>
          </w:p>
          <w:p w14:paraId="653F8D7B" w14:textId="77777777" w:rsidR="00971FC5" w:rsidRDefault="00F13D43">
            <w:pPr>
              <w:numPr>
                <w:ilvl w:val="0"/>
                <w:numId w:val="3"/>
              </w:numPr>
              <w:pBdr>
                <w:top w:val="nil"/>
                <w:left w:val="nil"/>
                <w:bottom w:val="nil"/>
                <w:right w:val="nil"/>
                <w:between w:val="nil"/>
              </w:pBdr>
              <w:spacing w:after="0" w:line="276" w:lineRule="auto"/>
            </w:pPr>
            <w:r>
              <w:t>Oversee the process of reporting regularly to parents on pupil academic and social development;</w:t>
            </w:r>
            <w:r>
              <w:tab/>
            </w:r>
          </w:p>
          <w:p w14:paraId="5223A51D" w14:textId="77777777" w:rsidR="00971FC5" w:rsidRDefault="00971FC5">
            <w:pPr>
              <w:pBdr>
                <w:top w:val="nil"/>
                <w:left w:val="nil"/>
                <w:bottom w:val="nil"/>
                <w:right w:val="nil"/>
                <w:between w:val="nil"/>
              </w:pBdr>
              <w:spacing w:after="0" w:line="276" w:lineRule="auto"/>
            </w:pPr>
          </w:p>
          <w:p w14:paraId="3C8225EC" w14:textId="77777777" w:rsidR="00971FC5" w:rsidRDefault="00F13D43">
            <w:pPr>
              <w:pBdr>
                <w:top w:val="nil"/>
                <w:left w:val="nil"/>
                <w:bottom w:val="nil"/>
                <w:right w:val="nil"/>
                <w:between w:val="nil"/>
              </w:pBdr>
              <w:spacing w:after="0" w:line="276" w:lineRule="auto"/>
              <w:rPr>
                <w:b/>
              </w:rPr>
            </w:pPr>
            <w:r>
              <w:rPr>
                <w:b/>
              </w:rPr>
              <w:t>Leadership and Management of Staff</w:t>
            </w:r>
          </w:p>
          <w:p w14:paraId="67F5A726" w14:textId="77777777" w:rsidR="00971FC5" w:rsidRDefault="00F13D43">
            <w:pPr>
              <w:numPr>
                <w:ilvl w:val="0"/>
                <w:numId w:val="3"/>
              </w:numPr>
              <w:pBdr>
                <w:top w:val="nil"/>
                <w:left w:val="nil"/>
                <w:bottom w:val="nil"/>
                <w:right w:val="nil"/>
                <w:between w:val="nil"/>
              </w:pBdr>
              <w:spacing w:after="0" w:line="276" w:lineRule="auto"/>
            </w:pPr>
            <w:r>
              <w:t>Oversee and support the work of the MYP and DP Co-</w:t>
            </w:r>
            <w:proofErr w:type="spellStart"/>
            <w:r>
              <w:t>ordinators</w:t>
            </w:r>
            <w:proofErr w:type="spellEnd"/>
            <w:r>
              <w:t xml:space="preserve"> and subject leads</w:t>
            </w:r>
          </w:p>
          <w:p w14:paraId="561A4388" w14:textId="77777777" w:rsidR="00971FC5" w:rsidRDefault="00F13D43">
            <w:pPr>
              <w:pBdr>
                <w:top w:val="nil"/>
                <w:left w:val="nil"/>
                <w:bottom w:val="nil"/>
                <w:right w:val="nil"/>
                <w:between w:val="nil"/>
              </w:pBdr>
              <w:spacing w:after="0" w:line="276" w:lineRule="auto"/>
              <w:ind w:left="720"/>
            </w:pPr>
            <w:r>
              <w:t xml:space="preserve">and ensure the implementation and successful development of the MYP and DP </w:t>
            </w:r>
            <w:proofErr w:type="spellStart"/>
            <w:r>
              <w:t>programmes</w:t>
            </w:r>
            <w:proofErr w:type="spellEnd"/>
            <w:r>
              <w:t xml:space="preserve"> and all curriculum areas;</w:t>
            </w:r>
          </w:p>
          <w:p w14:paraId="489D935E" w14:textId="17160000" w:rsidR="00971FC5" w:rsidRDefault="00F13D43">
            <w:pPr>
              <w:numPr>
                <w:ilvl w:val="0"/>
                <w:numId w:val="4"/>
              </w:numPr>
              <w:pBdr>
                <w:top w:val="nil"/>
                <w:left w:val="nil"/>
                <w:bottom w:val="nil"/>
                <w:right w:val="nil"/>
                <w:between w:val="nil"/>
              </w:pBdr>
              <w:spacing w:after="0" w:line="276" w:lineRule="auto"/>
            </w:pPr>
            <w:r>
              <w:t xml:space="preserve">Support the Senior </w:t>
            </w:r>
            <w:proofErr w:type="spellStart"/>
            <w:r>
              <w:t>Housem</w:t>
            </w:r>
            <w:proofErr w:type="spellEnd"/>
            <w:r>
              <w:t xml:space="preserve"> in leading the work of the house tutors;</w:t>
            </w:r>
          </w:p>
          <w:p w14:paraId="602B6A9E" w14:textId="77777777" w:rsidR="00971FC5" w:rsidRDefault="00F13D43">
            <w:pPr>
              <w:numPr>
                <w:ilvl w:val="0"/>
                <w:numId w:val="3"/>
              </w:numPr>
              <w:pBdr>
                <w:top w:val="nil"/>
                <w:left w:val="nil"/>
                <w:bottom w:val="nil"/>
                <w:right w:val="nil"/>
                <w:between w:val="nil"/>
              </w:pBdr>
              <w:spacing w:after="0" w:line="276" w:lineRule="auto"/>
            </w:pPr>
            <w:r>
              <w:t>Support the professional growth of colleagues and oversee the professional appraisal of secondary colleagues, in conjunction with other members of the SMT;</w:t>
            </w:r>
          </w:p>
          <w:p w14:paraId="7CA617B2" w14:textId="77777777" w:rsidR="00971FC5" w:rsidRDefault="00F13D43">
            <w:pPr>
              <w:numPr>
                <w:ilvl w:val="0"/>
                <w:numId w:val="3"/>
              </w:numPr>
              <w:pBdr>
                <w:top w:val="nil"/>
                <w:left w:val="nil"/>
                <w:bottom w:val="nil"/>
                <w:right w:val="nil"/>
                <w:between w:val="nil"/>
              </w:pBdr>
              <w:spacing w:after="0" w:line="276" w:lineRule="auto"/>
            </w:pPr>
            <w:r>
              <w:t>Work with the Headmaster in the recruitment of secondary teachers;</w:t>
            </w:r>
          </w:p>
          <w:p w14:paraId="0AE801E0" w14:textId="77777777" w:rsidR="00971FC5" w:rsidRDefault="00F13D43">
            <w:pPr>
              <w:numPr>
                <w:ilvl w:val="0"/>
                <w:numId w:val="3"/>
              </w:numPr>
              <w:pBdr>
                <w:top w:val="nil"/>
                <w:left w:val="nil"/>
                <w:bottom w:val="nil"/>
                <w:right w:val="nil"/>
                <w:between w:val="nil"/>
              </w:pBdr>
              <w:spacing w:after="0" w:line="276" w:lineRule="auto"/>
            </w:pPr>
            <w:r>
              <w:t>Plan and carry out induction of new staff;</w:t>
            </w:r>
          </w:p>
          <w:p w14:paraId="019CABBF" w14:textId="77777777" w:rsidR="00971FC5" w:rsidRDefault="00971FC5">
            <w:pPr>
              <w:pBdr>
                <w:top w:val="nil"/>
                <w:left w:val="nil"/>
                <w:bottom w:val="nil"/>
                <w:right w:val="nil"/>
                <w:between w:val="nil"/>
              </w:pBdr>
              <w:spacing w:after="0" w:line="276" w:lineRule="auto"/>
            </w:pPr>
          </w:p>
          <w:p w14:paraId="727568CB" w14:textId="77777777" w:rsidR="00971FC5" w:rsidRDefault="00F13D43">
            <w:pPr>
              <w:pBdr>
                <w:top w:val="nil"/>
                <w:left w:val="nil"/>
                <w:bottom w:val="nil"/>
                <w:right w:val="nil"/>
                <w:between w:val="nil"/>
              </w:pBdr>
              <w:spacing w:after="0" w:line="276" w:lineRule="auto"/>
              <w:rPr>
                <w:b/>
              </w:rPr>
            </w:pPr>
            <w:r>
              <w:rPr>
                <w:b/>
              </w:rPr>
              <w:t>Parental Communications</w:t>
            </w:r>
          </w:p>
          <w:p w14:paraId="1D422C9C" w14:textId="77777777" w:rsidR="00971FC5" w:rsidRDefault="00F13D43">
            <w:pPr>
              <w:numPr>
                <w:ilvl w:val="0"/>
                <w:numId w:val="3"/>
              </w:numPr>
              <w:spacing w:after="0" w:line="276" w:lineRule="auto"/>
            </w:pPr>
            <w:r>
              <w:t>Liaise with parents over parental concerns and in more complex disciplinary and pastoral cases, in liaison with relevant colleagues;</w:t>
            </w:r>
          </w:p>
          <w:p w14:paraId="0EB61B3E" w14:textId="77777777" w:rsidR="00971FC5" w:rsidRDefault="00F13D43">
            <w:pPr>
              <w:numPr>
                <w:ilvl w:val="0"/>
                <w:numId w:val="3"/>
              </w:numPr>
              <w:spacing w:after="0" w:line="276" w:lineRule="auto"/>
            </w:pPr>
            <w:r>
              <w:t>Co-ordinate Pupil Parent Teacher consultations;</w:t>
            </w:r>
          </w:p>
          <w:p w14:paraId="7B3FC055" w14:textId="77777777" w:rsidR="00971FC5" w:rsidRDefault="00F13D43">
            <w:pPr>
              <w:numPr>
                <w:ilvl w:val="0"/>
                <w:numId w:val="3"/>
              </w:numPr>
              <w:spacing w:after="0" w:line="276" w:lineRule="auto"/>
            </w:pPr>
            <w:r>
              <w:t>Oversee the induction of new pupils and support for new parents;</w:t>
            </w:r>
          </w:p>
          <w:p w14:paraId="57C28087" w14:textId="77777777" w:rsidR="00971FC5" w:rsidRDefault="00F13D43">
            <w:pPr>
              <w:numPr>
                <w:ilvl w:val="0"/>
                <w:numId w:val="3"/>
              </w:numPr>
              <w:pBdr>
                <w:top w:val="nil"/>
                <w:left w:val="nil"/>
                <w:bottom w:val="nil"/>
                <w:right w:val="nil"/>
                <w:between w:val="nil"/>
              </w:pBdr>
              <w:spacing w:after="0" w:line="276" w:lineRule="auto"/>
              <w:rPr>
                <w:color w:val="000000"/>
              </w:rPr>
            </w:pPr>
            <w:r>
              <w:rPr>
                <w:rFonts w:eastAsia="Calibri"/>
                <w:color w:val="000000"/>
              </w:rPr>
              <w:t xml:space="preserve">Work with the parent community to ensure that they are well informed and involved as partners in </w:t>
            </w:r>
            <w:r>
              <w:t xml:space="preserve">the </w:t>
            </w:r>
            <w:r>
              <w:rPr>
                <w:rFonts w:eastAsia="Calibri"/>
                <w:color w:val="000000"/>
              </w:rPr>
              <w:t>school</w:t>
            </w:r>
            <w:r>
              <w:t>;</w:t>
            </w:r>
          </w:p>
          <w:p w14:paraId="5BC99A6D" w14:textId="77777777" w:rsidR="00971FC5" w:rsidRDefault="00F13D43">
            <w:pPr>
              <w:numPr>
                <w:ilvl w:val="0"/>
                <w:numId w:val="3"/>
              </w:numPr>
              <w:pBdr>
                <w:top w:val="nil"/>
                <w:left w:val="nil"/>
                <w:bottom w:val="nil"/>
                <w:right w:val="nil"/>
                <w:between w:val="nil"/>
              </w:pBdr>
              <w:spacing w:after="0" w:line="276" w:lineRule="auto"/>
              <w:rPr>
                <w:color w:val="000000"/>
              </w:rPr>
            </w:pPr>
            <w:r>
              <w:t>Act</w:t>
            </w:r>
            <w:r>
              <w:rPr>
                <w:rFonts w:eastAsia="Calibri"/>
                <w:color w:val="000000"/>
              </w:rPr>
              <w:t xml:space="preserve"> as the </w:t>
            </w:r>
            <w:r>
              <w:t>Secondary</w:t>
            </w:r>
            <w:r>
              <w:rPr>
                <w:rFonts w:eastAsia="Calibri"/>
                <w:color w:val="000000"/>
              </w:rPr>
              <w:t xml:space="preserve"> Department public face in the Malvern College Hong Kong and wider communities</w:t>
            </w:r>
            <w:r>
              <w:t>;</w:t>
            </w:r>
          </w:p>
          <w:p w14:paraId="60362A34" w14:textId="77777777" w:rsidR="00971FC5" w:rsidRDefault="00971FC5">
            <w:pPr>
              <w:pBdr>
                <w:top w:val="nil"/>
                <w:left w:val="nil"/>
                <w:bottom w:val="nil"/>
                <w:right w:val="nil"/>
                <w:between w:val="nil"/>
              </w:pBdr>
              <w:spacing w:after="0" w:line="276" w:lineRule="auto"/>
            </w:pPr>
          </w:p>
          <w:p w14:paraId="18FDE83B" w14:textId="77777777" w:rsidR="00971FC5" w:rsidRDefault="00F13D43">
            <w:pPr>
              <w:spacing w:after="0" w:line="240" w:lineRule="auto"/>
              <w:rPr>
                <w:i/>
              </w:rPr>
            </w:pPr>
            <w:r>
              <w:rPr>
                <w:i/>
              </w:rPr>
              <w:t xml:space="preserve">This list of duties is not exhaustive and the role will develop to fit the strengths and experience of the successful candidate. </w:t>
            </w:r>
          </w:p>
        </w:tc>
      </w:tr>
    </w:tbl>
    <w:p w14:paraId="528C0A83" w14:textId="77777777" w:rsidR="00971FC5" w:rsidRDefault="00971FC5">
      <w:pPr>
        <w:spacing w:after="120"/>
      </w:pPr>
    </w:p>
    <w:p w14:paraId="617C194E" w14:textId="77777777" w:rsidR="00971FC5" w:rsidRDefault="00971FC5">
      <w:pPr>
        <w:spacing w:after="120"/>
      </w:pPr>
    </w:p>
    <w:p w14:paraId="70E3BDBE" w14:textId="77777777" w:rsidR="00971FC5" w:rsidRDefault="00971FC5">
      <w:pPr>
        <w:spacing w:after="120"/>
      </w:pPr>
    </w:p>
    <w:p w14:paraId="6BF31E41" w14:textId="77777777" w:rsidR="00971FC5" w:rsidRDefault="00971FC5">
      <w:pPr>
        <w:spacing w:after="120"/>
      </w:pPr>
    </w:p>
    <w:tbl>
      <w:tblPr>
        <w:tblStyle w:val="a1"/>
        <w:tblW w:w="104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8363"/>
      </w:tblGrid>
      <w:tr w:rsidR="00971FC5" w14:paraId="003B4FA4" w14:textId="77777777" w:rsidTr="009E5405">
        <w:trPr>
          <w:trHeight w:val="300"/>
        </w:trPr>
        <w:tc>
          <w:tcPr>
            <w:tcW w:w="10485" w:type="dxa"/>
            <w:gridSpan w:val="2"/>
            <w:shd w:val="clear" w:color="auto" w:fill="385623"/>
          </w:tcPr>
          <w:p w14:paraId="6EB71206" w14:textId="4BC2BA7A" w:rsidR="00971FC5" w:rsidRDefault="00F13D43" w:rsidP="009E5405">
            <w:pPr>
              <w:spacing w:after="0"/>
              <w:rPr>
                <w:b/>
                <w:color w:val="FFFFFF"/>
              </w:rPr>
            </w:pPr>
            <w:r>
              <w:rPr>
                <w:b/>
                <w:color w:val="FFFFFF"/>
              </w:rPr>
              <w:t>Key Relationships</w:t>
            </w:r>
          </w:p>
        </w:tc>
      </w:tr>
      <w:tr w:rsidR="00971FC5" w14:paraId="3B30F713" w14:textId="77777777" w:rsidTr="009E5405">
        <w:trPr>
          <w:trHeight w:val="520"/>
        </w:trPr>
        <w:tc>
          <w:tcPr>
            <w:tcW w:w="2122" w:type="dxa"/>
            <w:shd w:val="clear" w:color="auto" w:fill="D9D9D9"/>
          </w:tcPr>
          <w:p w14:paraId="7E6B09EF" w14:textId="77777777" w:rsidR="00971FC5" w:rsidRDefault="00F13D43">
            <w:pPr>
              <w:spacing w:line="240" w:lineRule="auto"/>
              <w:rPr>
                <w:b/>
              </w:rPr>
            </w:pPr>
            <w:r>
              <w:rPr>
                <w:b/>
              </w:rPr>
              <w:t>Internal</w:t>
            </w:r>
          </w:p>
        </w:tc>
        <w:tc>
          <w:tcPr>
            <w:tcW w:w="8363" w:type="dxa"/>
            <w:shd w:val="clear" w:color="auto" w:fill="FFFFFF"/>
          </w:tcPr>
          <w:p w14:paraId="6B692157" w14:textId="77777777" w:rsidR="00971FC5" w:rsidRPr="009E5405" w:rsidRDefault="00F13D43" w:rsidP="009E5405">
            <w:pPr>
              <w:numPr>
                <w:ilvl w:val="0"/>
                <w:numId w:val="3"/>
              </w:numPr>
              <w:pBdr>
                <w:top w:val="nil"/>
                <w:left w:val="nil"/>
                <w:bottom w:val="nil"/>
                <w:right w:val="nil"/>
                <w:between w:val="nil"/>
              </w:pBdr>
              <w:spacing w:after="0" w:line="276" w:lineRule="auto"/>
            </w:pPr>
            <w:r w:rsidRPr="009E5405">
              <w:t xml:space="preserve">Headmaster, Deputy Head, Head of </w:t>
            </w:r>
            <w:r>
              <w:t>Primary</w:t>
            </w:r>
            <w:r w:rsidRPr="009E5405">
              <w:t xml:space="preserve">, MYP and DP Coordinators, </w:t>
            </w:r>
            <w:r>
              <w:t xml:space="preserve">Senior </w:t>
            </w:r>
            <w:proofErr w:type="spellStart"/>
            <w:r>
              <w:t>Housem</w:t>
            </w:r>
            <w:proofErr w:type="spellEnd"/>
            <w:r w:rsidRPr="009E5405">
              <w:t>, House t</w:t>
            </w:r>
            <w:r>
              <w:t>utors, t</w:t>
            </w:r>
            <w:r w:rsidRPr="009E5405">
              <w:t xml:space="preserve">eachers, </w:t>
            </w:r>
            <w:r>
              <w:t>administrative team,</w:t>
            </w:r>
            <w:r w:rsidRPr="009E5405">
              <w:t xml:space="preserve"> pupils</w:t>
            </w:r>
          </w:p>
        </w:tc>
      </w:tr>
      <w:tr w:rsidR="00971FC5" w14:paraId="55BDB4F4" w14:textId="77777777" w:rsidTr="009E5405">
        <w:trPr>
          <w:trHeight w:val="400"/>
        </w:trPr>
        <w:tc>
          <w:tcPr>
            <w:tcW w:w="2122" w:type="dxa"/>
            <w:shd w:val="clear" w:color="auto" w:fill="D9D9D9"/>
          </w:tcPr>
          <w:p w14:paraId="6083601A" w14:textId="77777777" w:rsidR="00971FC5" w:rsidRDefault="00F13D43">
            <w:pPr>
              <w:spacing w:line="240" w:lineRule="auto"/>
              <w:rPr>
                <w:b/>
              </w:rPr>
            </w:pPr>
            <w:r>
              <w:rPr>
                <w:b/>
              </w:rPr>
              <w:t>External</w:t>
            </w:r>
          </w:p>
        </w:tc>
        <w:tc>
          <w:tcPr>
            <w:tcW w:w="8363" w:type="dxa"/>
            <w:shd w:val="clear" w:color="auto" w:fill="FFFFFF"/>
          </w:tcPr>
          <w:p w14:paraId="2B0ABB3C" w14:textId="77777777" w:rsidR="00971FC5" w:rsidRPr="009E5405" w:rsidRDefault="00F13D43" w:rsidP="009E5405">
            <w:pPr>
              <w:numPr>
                <w:ilvl w:val="0"/>
                <w:numId w:val="3"/>
              </w:numPr>
              <w:pBdr>
                <w:top w:val="nil"/>
                <w:left w:val="nil"/>
                <w:bottom w:val="nil"/>
                <w:right w:val="nil"/>
                <w:between w:val="nil"/>
              </w:pBdr>
              <w:spacing w:after="0" w:line="276" w:lineRule="auto"/>
            </w:pPr>
            <w:r w:rsidRPr="009E5405">
              <w:t>Parents, visitors</w:t>
            </w:r>
          </w:p>
        </w:tc>
      </w:tr>
    </w:tbl>
    <w:p w14:paraId="69D3CB68" w14:textId="77777777" w:rsidR="00971FC5" w:rsidRDefault="00971FC5">
      <w:pPr>
        <w:spacing w:after="120"/>
      </w:pPr>
    </w:p>
    <w:p w14:paraId="7D2F3BA8" w14:textId="77777777" w:rsidR="00971FC5" w:rsidRDefault="00971FC5">
      <w:pPr>
        <w:spacing w:after="120"/>
      </w:pPr>
    </w:p>
    <w:tbl>
      <w:tblPr>
        <w:tblStyle w:val="a2"/>
        <w:tblW w:w="1047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93"/>
        <w:gridCol w:w="8280"/>
      </w:tblGrid>
      <w:tr w:rsidR="00971FC5" w:rsidRPr="009E5405" w14:paraId="4CC883B0" w14:textId="77777777" w:rsidTr="009E5405">
        <w:trPr>
          <w:trHeight w:val="152"/>
        </w:trPr>
        <w:tc>
          <w:tcPr>
            <w:tcW w:w="10473" w:type="dxa"/>
            <w:gridSpan w:val="2"/>
            <w:shd w:val="clear" w:color="auto" w:fill="385623"/>
            <w:tcMar>
              <w:top w:w="60" w:type="dxa"/>
              <w:left w:w="100" w:type="dxa"/>
              <w:bottom w:w="100" w:type="dxa"/>
              <w:right w:w="100" w:type="dxa"/>
            </w:tcMar>
          </w:tcPr>
          <w:p w14:paraId="181084EF" w14:textId="77777777" w:rsidR="00971FC5" w:rsidRDefault="00F13D43" w:rsidP="009E5405">
            <w:pPr>
              <w:spacing w:after="0"/>
              <w:rPr>
                <w:b/>
                <w:color w:val="FFFFFF"/>
              </w:rPr>
            </w:pPr>
            <w:r>
              <w:rPr>
                <w:b/>
                <w:color w:val="FFFFFF"/>
              </w:rPr>
              <w:t>Position Requirements</w:t>
            </w:r>
          </w:p>
        </w:tc>
      </w:tr>
      <w:tr w:rsidR="00971FC5" w14:paraId="500560A6" w14:textId="77777777" w:rsidTr="009E5405">
        <w:trPr>
          <w:trHeight w:val="419"/>
        </w:trPr>
        <w:tc>
          <w:tcPr>
            <w:tcW w:w="2193" w:type="dxa"/>
            <w:shd w:val="clear" w:color="auto" w:fill="D9D9D9"/>
            <w:tcMar>
              <w:top w:w="60" w:type="dxa"/>
              <w:left w:w="100" w:type="dxa"/>
              <w:bottom w:w="100" w:type="dxa"/>
              <w:right w:w="100" w:type="dxa"/>
            </w:tcMar>
          </w:tcPr>
          <w:p w14:paraId="4370DFFD" w14:textId="77777777" w:rsidR="00971FC5" w:rsidRDefault="00F13D43" w:rsidP="009E5405">
            <w:pPr>
              <w:spacing w:line="240" w:lineRule="auto"/>
              <w:rPr>
                <w:b/>
              </w:rPr>
            </w:pPr>
            <w:r>
              <w:rPr>
                <w:b/>
              </w:rPr>
              <w:t>Academic Requirements</w:t>
            </w:r>
          </w:p>
        </w:tc>
        <w:tc>
          <w:tcPr>
            <w:tcW w:w="8280" w:type="dxa"/>
            <w:shd w:val="clear" w:color="auto" w:fill="auto"/>
            <w:tcMar>
              <w:top w:w="60" w:type="dxa"/>
              <w:left w:w="100" w:type="dxa"/>
              <w:bottom w:w="100" w:type="dxa"/>
              <w:right w:w="100" w:type="dxa"/>
            </w:tcMar>
          </w:tcPr>
          <w:p w14:paraId="5C4DB9B6" w14:textId="77777777" w:rsidR="00971FC5" w:rsidRPr="009E5405" w:rsidRDefault="00F13D43" w:rsidP="009E5405">
            <w:pPr>
              <w:numPr>
                <w:ilvl w:val="0"/>
                <w:numId w:val="3"/>
              </w:numPr>
              <w:spacing w:after="0" w:line="276" w:lineRule="auto"/>
            </w:pPr>
            <w:r w:rsidRPr="009E5405">
              <w:t>Minimum Bachelor’s Degree</w:t>
            </w:r>
          </w:p>
          <w:p w14:paraId="2CDA5BED" w14:textId="77777777" w:rsidR="00971FC5" w:rsidRPr="009E5405" w:rsidRDefault="00F13D43" w:rsidP="009E5405">
            <w:pPr>
              <w:numPr>
                <w:ilvl w:val="0"/>
                <w:numId w:val="3"/>
              </w:numPr>
              <w:spacing w:after="240" w:line="276" w:lineRule="auto"/>
            </w:pPr>
            <w:r w:rsidRPr="009E5405">
              <w:t xml:space="preserve"> A recognized teaching qualification </w:t>
            </w:r>
            <w:r>
              <w:t>(e.g. PGCE)</w:t>
            </w:r>
          </w:p>
        </w:tc>
      </w:tr>
      <w:tr w:rsidR="00971FC5" w14:paraId="72E28D59" w14:textId="77777777" w:rsidTr="009E5405">
        <w:trPr>
          <w:trHeight w:val="1280"/>
        </w:trPr>
        <w:tc>
          <w:tcPr>
            <w:tcW w:w="2193" w:type="dxa"/>
            <w:shd w:val="clear" w:color="auto" w:fill="D9D9D9"/>
            <w:tcMar>
              <w:top w:w="60" w:type="dxa"/>
              <w:left w:w="100" w:type="dxa"/>
              <w:bottom w:w="100" w:type="dxa"/>
              <w:right w:w="100" w:type="dxa"/>
            </w:tcMar>
          </w:tcPr>
          <w:p w14:paraId="79599A11" w14:textId="77777777" w:rsidR="00971FC5" w:rsidRDefault="00F13D43" w:rsidP="009E5405">
            <w:pPr>
              <w:spacing w:line="240" w:lineRule="auto"/>
              <w:rPr>
                <w:b/>
              </w:rPr>
            </w:pPr>
            <w:r>
              <w:rPr>
                <w:b/>
              </w:rPr>
              <w:t>Required Working Experience</w:t>
            </w:r>
          </w:p>
        </w:tc>
        <w:tc>
          <w:tcPr>
            <w:tcW w:w="8280" w:type="dxa"/>
            <w:shd w:val="clear" w:color="auto" w:fill="auto"/>
            <w:tcMar>
              <w:top w:w="60" w:type="dxa"/>
              <w:left w:w="100" w:type="dxa"/>
              <w:bottom w:w="100" w:type="dxa"/>
              <w:right w:w="100" w:type="dxa"/>
            </w:tcMar>
          </w:tcPr>
          <w:p w14:paraId="7D786F3D" w14:textId="77777777" w:rsidR="00971FC5" w:rsidRDefault="00F13D43" w:rsidP="009E5405">
            <w:pPr>
              <w:numPr>
                <w:ilvl w:val="0"/>
                <w:numId w:val="3"/>
              </w:numPr>
              <w:spacing w:after="0" w:line="276" w:lineRule="auto"/>
            </w:pPr>
            <w:r>
              <w:t>Minimum 10 years’ teaching experience;</w:t>
            </w:r>
          </w:p>
          <w:p w14:paraId="10507B1D" w14:textId="77777777" w:rsidR="00971FC5" w:rsidRDefault="00F13D43" w:rsidP="009E5405">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pPr>
            <w:r>
              <w:t xml:space="preserve">Proven educational leadership and </w:t>
            </w:r>
            <w:proofErr w:type="spellStart"/>
            <w:r>
              <w:t>programme</w:t>
            </w:r>
            <w:proofErr w:type="spellEnd"/>
            <w:r>
              <w:t xml:space="preserve"> coordination experience;</w:t>
            </w:r>
          </w:p>
          <w:p w14:paraId="7A8FB610" w14:textId="77777777" w:rsidR="00971FC5" w:rsidRDefault="00F13D43" w:rsidP="009E5405">
            <w:pPr>
              <w:numPr>
                <w:ilvl w:val="0"/>
                <w:numId w:val="3"/>
              </w:numPr>
              <w:spacing w:after="0" w:line="276" w:lineRule="auto"/>
            </w:pPr>
            <w:r>
              <w:t>Previous experience of working in an international school;</w:t>
            </w:r>
          </w:p>
          <w:p w14:paraId="76487C4B" w14:textId="77777777" w:rsidR="00971FC5" w:rsidRDefault="00F13D43" w:rsidP="009E5405">
            <w:pPr>
              <w:numPr>
                <w:ilvl w:val="0"/>
                <w:numId w:val="3"/>
              </w:numPr>
              <w:spacing w:after="0" w:line="276" w:lineRule="auto"/>
            </w:pPr>
            <w:r>
              <w:t>Prior experience of a school capturing the British independent school ethos is preferred;</w:t>
            </w:r>
          </w:p>
          <w:p w14:paraId="55D54C72" w14:textId="77777777" w:rsidR="00971FC5" w:rsidRDefault="00F13D43" w:rsidP="009E5405">
            <w:pPr>
              <w:numPr>
                <w:ilvl w:val="0"/>
                <w:numId w:val="3"/>
              </w:numPr>
              <w:spacing w:after="240" w:line="276" w:lineRule="auto"/>
            </w:pPr>
            <w:r>
              <w:t xml:space="preserve">Recent experience of the IB MYP and/or DP </w:t>
            </w:r>
            <w:proofErr w:type="spellStart"/>
            <w:r>
              <w:t>programmes</w:t>
            </w:r>
            <w:proofErr w:type="spellEnd"/>
            <w:r>
              <w:t>;</w:t>
            </w:r>
          </w:p>
        </w:tc>
      </w:tr>
      <w:tr w:rsidR="00971FC5" w14:paraId="20AF74DC" w14:textId="77777777" w:rsidTr="009E5405">
        <w:trPr>
          <w:trHeight w:val="1280"/>
        </w:trPr>
        <w:tc>
          <w:tcPr>
            <w:tcW w:w="2193" w:type="dxa"/>
            <w:shd w:val="clear" w:color="auto" w:fill="D9D9D9"/>
            <w:tcMar>
              <w:top w:w="60" w:type="dxa"/>
              <w:left w:w="100" w:type="dxa"/>
              <w:bottom w:w="100" w:type="dxa"/>
              <w:right w:w="100" w:type="dxa"/>
            </w:tcMar>
          </w:tcPr>
          <w:p w14:paraId="78558AA9" w14:textId="77777777" w:rsidR="00971FC5" w:rsidRDefault="00F13D43" w:rsidP="009E5405">
            <w:pPr>
              <w:spacing w:line="240" w:lineRule="auto"/>
              <w:rPr>
                <w:b/>
              </w:rPr>
            </w:pPr>
            <w:r>
              <w:rPr>
                <w:b/>
              </w:rPr>
              <w:t>Additional Requirements</w:t>
            </w:r>
          </w:p>
        </w:tc>
        <w:tc>
          <w:tcPr>
            <w:tcW w:w="8280" w:type="dxa"/>
            <w:shd w:val="clear" w:color="auto" w:fill="auto"/>
            <w:tcMar>
              <w:top w:w="60" w:type="dxa"/>
              <w:left w:w="100" w:type="dxa"/>
              <w:bottom w:w="100" w:type="dxa"/>
              <w:right w:w="100" w:type="dxa"/>
            </w:tcMar>
          </w:tcPr>
          <w:p w14:paraId="04B57500" w14:textId="77777777" w:rsidR="00971FC5" w:rsidRPr="009E5405" w:rsidRDefault="00F13D43" w:rsidP="009E5405">
            <w:pPr>
              <w:numPr>
                <w:ilvl w:val="0"/>
                <w:numId w:val="3"/>
              </w:numPr>
              <w:spacing w:after="0" w:line="276" w:lineRule="auto"/>
            </w:pPr>
            <w:r w:rsidRPr="009E5405">
              <w:t>Sensitivity to the cultural differences found in Hong Kong and the willingness to develop and maintain a cross cultural approach to work;</w:t>
            </w:r>
          </w:p>
          <w:p w14:paraId="4056415D" w14:textId="77777777" w:rsidR="00971FC5" w:rsidRPr="009E5405" w:rsidRDefault="00F13D43" w:rsidP="009E5405">
            <w:pPr>
              <w:numPr>
                <w:ilvl w:val="0"/>
                <w:numId w:val="3"/>
              </w:numPr>
              <w:spacing w:after="0" w:line="276" w:lineRule="auto"/>
            </w:pPr>
            <w:r w:rsidRPr="009E5405">
              <w:t xml:space="preserve">A willingness and commitment to contribute fully to the life of the pu­pils and school beyond the academic day, including active par­ticipation in the academic enrichment and co-curricular </w:t>
            </w:r>
            <w:proofErr w:type="spellStart"/>
            <w:r w:rsidRPr="009E5405">
              <w:t>programmes</w:t>
            </w:r>
            <w:proofErr w:type="spellEnd"/>
            <w:r w:rsidRPr="009E5405">
              <w:t>;</w:t>
            </w:r>
          </w:p>
          <w:p w14:paraId="481667BF" w14:textId="77777777" w:rsidR="00971FC5" w:rsidRPr="009E5405" w:rsidRDefault="00F13D43" w:rsidP="009E5405">
            <w:pPr>
              <w:numPr>
                <w:ilvl w:val="0"/>
                <w:numId w:val="3"/>
              </w:numPr>
              <w:spacing w:after="0" w:line="276" w:lineRule="auto"/>
            </w:pPr>
            <w:r w:rsidRPr="009E5405">
              <w:t xml:space="preserve">Flexibility to teach within the MYP/DP </w:t>
            </w:r>
            <w:proofErr w:type="spellStart"/>
            <w:r w:rsidRPr="009E5405">
              <w:t>programmes</w:t>
            </w:r>
            <w:proofErr w:type="spellEnd"/>
            <w:r w:rsidRPr="009E5405">
              <w:t>, if required;</w:t>
            </w:r>
          </w:p>
          <w:p w14:paraId="1E96F7DC" w14:textId="77777777" w:rsidR="00971FC5" w:rsidRPr="009E5405" w:rsidRDefault="00F13D43" w:rsidP="009E5405">
            <w:pPr>
              <w:numPr>
                <w:ilvl w:val="0"/>
                <w:numId w:val="3"/>
              </w:numPr>
              <w:spacing w:after="240" w:line="276" w:lineRule="auto"/>
            </w:pPr>
            <w:r>
              <w:t>An openness to assist with any other duties, tasks or jobs as may be reasonably requested by the Headmaster.</w:t>
            </w:r>
          </w:p>
        </w:tc>
      </w:tr>
    </w:tbl>
    <w:p w14:paraId="0622EFC5" w14:textId="77777777" w:rsidR="00971FC5" w:rsidRDefault="00971FC5">
      <w:pPr>
        <w:spacing w:after="120"/>
      </w:pPr>
    </w:p>
    <w:p w14:paraId="055515DD" w14:textId="77777777" w:rsidR="00971FC5" w:rsidRDefault="00971FC5"/>
    <w:sectPr w:rsidR="00971FC5">
      <w:headerReference w:type="even" r:id="rId7"/>
      <w:headerReference w:type="default" r:id="rId8"/>
      <w:footerReference w:type="even" r:id="rId9"/>
      <w:footerReference w:type="default" r:id="rId10"/>
      <w:headerReference w:type="first" r:id="rId11"/>
      <w:footerReference w:type="first" r:id="rId12"/>
      <w:pgSz w:w="11907" w:h="16840"/>
      <w:pgMar w:top="1701" w:right="720" w:bottom="992" w:left="720" w:header="72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1D09" w14:textId="77777777" w:rsidR="000310CA" w:rsidRDefault="000310CA">
      <w:pPr>
        <w:spacing w:after="0" w:line="240" w:lineRule="auto"/>
      </w:pPr>
      <w:r>
        <w:separator/>
      </w:r>
    </w:p>
  </w:endnote>
  <w:endnote w:type="continuationSeparator" w:id="0">
    <w:p w14:paraId="7CEDC1E0" w14:textId="77777777" w:rsidR="000310CA" w:rsidRDefault="0003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ITC Stone Sans Std Medium">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805C" w14:textId="77777777" w:rsidR="00971FC5" w:rsidRDefault="00971FC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1387" w14:textId="5D759380" w:rsidR="00971FC5" w:rsidRDefault="00F13D4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Job Description (Head of </w:t>
    </w:r>
    <w:r>
      <w:rPr>
        <w:rFonts w:ascii="Times New Roman" w:eastAsia="Times New Roman" w:hAnsi="Times New Roman" w:cs="Times New Roman"/>
        <w:i/>
        <w:sz w:val="20"/>
        <w:szCs w:val="20"/>
      </w:rPr>
      <w:t>Secondary</w:t>
    </w:r>
    <w:r>
      <w:rPr>
        <w:rFonts w:ascii="Times New Roman" w:eastAsia="Times New Roman" w:hAnsi="Times New Roman" w:cs="Times New Roman"/>
        <w:i/>
        <w:color w:val="000000"/>
        <w:sz w:val="20"/>
        <w:szCs w:val="20"/>
      </w:rPr>
      <w:t>)</w:t>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t xml:space="preserve">   </w:t>
    </w: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PAGE</w:instrText>
    </w:r>
    <w:r>
      <w:rPr>
        <w:rFonts w:ascii="Times New Roman" w:eastAsia="Times New Roman" w:hAnsi="Times New Roman" w:cs="Times New Roman"/>
        <w:i/>
        <w:color w:val="000000"/>
        <w:sz w:val="20"/>
        <w:szCs w:val="20"/>
      </w:rPr>
      <w:fldChar w:fldCharType="separate"/>
    </w:r>
    <w:r w:rsidR="00DE3E3A">
      <w:rPr>
        <w:rFonts w:ascii="Times New Roman" w:eastAsia="Times New Roman" w:hAnsi="Times New Roman" w:cs="Times New Roman"/>
        <w:i/>
        <w:noProof/>
        <w:color w:val="000000"/>
        <w:sz w:val="20"/>
        <w:szCs w:val="20"/>
      </w:rPr>
      <w:t>1</w:t>
    </w:r>
    <w:r>
      <w:rPr>
        <w:rFonts w:ascii="Times New Roman" w:eastAsia="Times New Roman" w:hAnsi="Times New Roman" w:cs="Times New Roman"/>
        <w:i/>
        <w:color w:val="000000"/>
        <w:sz w:val="20"/>
        <w:szCs w:val="20"/>
      </w:rPr>
      <w:fldChar w:fldCharType="end"/>
    </w:r>
    <w:r>
      <w:rPr>
        <w:rFonts w:ascii="Times New Roman" w:eastAsia="Times New Roman" w:hAnsi="Times New Roman" w:cs="Times New Roman"/>
        <w:i/>
        <w:color w:val="000000"/>
        <w:sz w:val="20"/>
        <w:szCs w:val="20"/>
      </w:rPr>
      <w:t xml:space="preserve"> of </w:t>
    </w: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NUMPAGES</w:instrText>
    </w:r>
    <w:r>
      <w:rPr>
        <w:rFonts w:ascii="Times New Roman" w:eastAsia="Times New Roman" w:hAnsi="Times New Roman" w:cs="Times New Roman"/>
        <w:i/>
        <w:color w:val="000000"/>
        <w:sz w:val="20"/>
        <w:szCs w:val="20"/>
      </w:rPr>
      <w:fldChar w:fldCharType="separate"/>
    </w:r>
    <w:r w:rsidR="00DE3E3A">
      <w:rPr>
        <w:rFonts w:ascii="Times New Roman" w:eastAsia="Times New Roman" w:hAnsi="Times New Roman" w:cs="Times New Roman"/>
        <w:i/>
        <w:noProof/>
        <w:color w:val="000000"/>
        <w:sz w:val="20"/>
        <w:szCs w:val="20"/>
      </w:rPr>
      <w:t>1</w:t>
    </w:r>
    <w:r>
      <w:rPr>
        <w:rFonts w:ascii="Times New Roman" w:eastAsia="Times New Roman" w:hAnsi="Times New Roman" w:cs="Times New Roman"/>
        <w:i/>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C269" w14:textId="77777777" w:rsidR="00971FC5" w:rsidRDefault="00971FC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1A6D" w14:textId="77777777" w:rsidR="000310CA" w:rsidRDefault="000310CA">
      <w:pPr>
        <w:spacing w:after="0" w:line="240" w:lineRule="auto"/>
      </w:pPr>
      <w:r>
        <w:separator/>
      </w:r>
    </w:p>
  </w:footnote>
  <w:footnote w:type="continuationSeparator" w:id="0">
    <w:p w14:paraId="219943DA" w14:textId="77777777" w:rsidR="000310CA" w:rsidRDefault="00031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4A33B" w14:textId="77777777" w:rsidR="00971FC5" w:rsidRDefault="00971FC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BB6D" w14:textId="77777777" w:rsidR="00971FC5" w:rsidRDefault="00F13D4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128E25F" wp14:editId="6881227D">
          <wp:simplePos x="0" y="0"/>
          <wp:positionH relativeFrom="column">
            <wp:posOffset>2846038</wp:posOffset>
          </wp:positionH>
          <wp:positionV relativeFrom="paragraph">
            <wp:posOffset>-251458</wp:posOffset>
          </wp:positionV>
          <wp:extent cx="954468" cy="75536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4468" cy="75536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0319" w14:textId="77777777" w:rsidR="00971FC5" w:rsidRDefault="00971FC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1075"/>
    <w:multiLevelType w:val="multilevel"/>
    <w:tmpl w:val="2B34F99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2587C90"/>
    <w:multiLevelType w:val="multilevel"/>
    <w:tmpl w:val="00CCE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836A18"/>
    <w:multiLevelType w:val="multilevel"/>
    <w:tmpl w:val="B728239E"/>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3" w15:restartNumberingAfterBreak="0">
    <w:nsid w:val="482506F4"/>
    <w:multiLevelType w:val="multilevel"/>
    <w:tmpl w:val="D1844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476EEC"/>
    <w:multiLevelType w:val="multilevel"/>
    <w:tmpl w:val="3CCCC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C0138B"/>
    <w:multiLevelType w:val="multilevel"/>
    <w:tmpl w:val="D1F41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C5"/>
    <w:rsid w:val="000310CA"/>
    <w:rsid w:val="007A021A"/>
    <w:rsid w:val="00971FC5"/>
    <w:rsid w:val="009E5405"/>
    <w:rsid w:val="009E7371"/>
    <w:rsid w:val="00BB1B73"/>
    <w:rsid w:val="00DE3E3A"/>
    <w:rsid w:val="00F13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96FC3"/>
  <w15:docId w15:val="{6B101796-5DEB-46E1-AEF9-ECBC5208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2019-11-08T15:48:00Z</dcterms:created>
  <dcterms:modified xsi:type="dcterms:W3CDTF">2019-11-08T15:51:00Z</dcterms:modified>
</cp:coreProperties>
</file>