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6A" w:rsidRDefault="0010436A" w:rsidP="0010436A">
      <w:pPr>
        <w:jc w:val="right"/>
      </w:pPr>
      <w:r>
        <w:rPr>
          <w:noProof/>
          <w:lang w:val="en-GB" w:eastAsia="en-GB"/>
        </w:rPr>
        <w:drawing>
          <wp:inline distT="0" distB="0" distL="0" distR="0">
            <wp:extent cx="1973580" cy="6248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580" cy="624840"/>
                    </a:xfrm>
                    <a:prstGeom prst="rect">
                      <a:avLst/>
                    </a:prstGeom>
                    <a:noFill/>
                    <a:ln>
                      <a:noFill/>
                    </a:ln>
                  </pic:spPr>
                </pic:pic>
              </a:graphicData>
            </a:graphic>
          </wp:inline>
        </w:drawing>
      </w:r>
    </w:p>
    <w:p w:rsidR="0010436A" w:rsidRDefault="0010436A" w:rsidP="0010436A">
      <w:pPr>
        <w:pStyle w:val="Heading1"/>
        <w:ind w:left="1902"/>
      </w:pPr>
    </w:p>
    <w:p w:rsidR="0010436A" w:rsidRDefault="0010436A" w:rsidP="0010436A">
      <w:pPr>
        <w:pStyle w:val="Heading1"/>
        <w:ind w:left="1902"/>
        <w:rPr>
          <w:rFonts w:ascii="Calibri"/>
        </w:rPr>
      </w:pPr>
      <w:r>
        <w:t xml:space="preserve">Job Description: </w:t>
      </w:r>
      <w:r>
        <w:rPr>
          <w:rFonts w:ascii="Calibri"/>
        </w:rPr>
        <w:t xml:space="preserve">Second in </w:t>
      </w:r>
      <w:r w:rsidR="00EA7BBD">
        <w:rPr>
          <w:rFonts w:ascii="Calibri"/>
        </w:rPr>
        <w:t>D&amp;T</w:t>
      </w:r>
      <w:r>
        <w:rPr>
          <w:rFonts w:ascii="Calibri"/>
        </w:rPr>
        <w:t xml:space="preserve"> Department</w:t>
      </w:r>
    </w:p>
    <w:p w:rsidR="0010436A" w:rsidRDefault="0010436A" w:rsidP="0010436A">
      <w:pPr>
        <w:pStyle w:val="Heading1"/>
        <w:ind w:left="1902"/>
        <w:rPr>
          <w:rFonts w:ascii="Calibri"/>
        </w:rPr>
      </w:pPr>
    </w:p>
    <w:p w:rsidR="0010436A" w:rsidRDefault="0010436A" w:rsidP="0010436A">
      <w:pPr>
        <w:spacing w:before="12"/>
        <w:rPr>
          <w:sz w:val="4"/>
        </w:rPr>
      </w:pPr>
    </w:p>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1"/>
        <w:gridCol w:w="8683"/>
      </w:tblGrid>
      <w:tr w:rsidR="0010436A" w:rsidTr="0010436A">
        <w:trPr>
          <w:trHeight w:val="333"/>
        </w:trPr>
        <w:tc>
          <w:tcPr>
            <w:tcW w:w="2091" w:type="dxa"/>
            <w:shd w:val="clear" w:color="auto" w:fill="F1F1F1"/>
          </w:tcPr>
          <w:p w:rsidR="0010436A" w:rsidRDefault="0010436A" w:rsidP="002816A5">
            <w:pPr>
              <w:pStyle w:val="TableParagraph"/>
              <w:spacing w:before="40" w:line="273" w:lineRule="exact"/>
              <w:ind w:left="107"/>
              <w:rPr>
                <w:rFonts w:ascii="Calibri Light"/>
                <w:sz w:val="24"/>
              </w:rPr>
            </w:pPr>
            <w:r>
              <w:rPr>
                <w:rFonts w:ascii="Calibri Light"/>
                <w:sz w:val="24"/>
              </w:rPr>
              <w:t>Salary range:</w:t>
            </w:r>
          </w:p>
        </w:tc>
        <w:tc>
          <w:tcPr>
            <w:tcW w:w="8683" w:type="dxa"/>
          </w:tcPr>
          <w:p w:rsidR="0010436A" w:rsidRDefault="005C6C7A" w:rsidP="002816A5">
            <w:pPr>
              <w:pStyle w:val="TableParagraph"/>
              <w:spacing w:before="40" w:line="273" w:lineRule="exact"/>
              <w:ind w:left="107"/>
              <w:rPr>
                <w:rFonts w:ascii="Calibri Light"/>
                <w:sz w:val="24"/>
              </w:rPr>
            </w:pPr>
            <w:r>
              <w:rPr>
                <w:rFonts w:ascii="Calibri Light"/>
                <w:sz w:val="24"/>
              </w:rPr>
              <w:t>MPS/UPS plus TLR</w:t>
            </w:r>
            <w:r w:rsidR="00965F5F">
              <w:rPr>
                <w:rFonts w:ascii="Calibri Light"/>
                <w:sz w:val="24"/>
              </w:rPr>
              <w:t xml:space="preserve"> </w:t>
            </w:r>
            <w:r>
              <w:rPr>
                <w:rFonts w:ascii="Calibri Light"/>
                <w:sz w:val="24"/>
              </w:rPr>
              <w:t>2</w:t>
            </w:r>
            <w:r w:rsidR="00EA7BBD">
              <w:rPr>
                <w:rFonts w:ascii="Calibri Light"/>
                <w:sz w:val="24"/>
              </w:rPr>
              <w:t>a</w:t>
            </w:r>
          </w:p>
        </w:tc>
      </w:tr>
      <w:tr w:rsidR="0010436A" w:rsidTr="0010436A">
        <w:trPr>
          <w:trHeight w:val="626"/>
        </w:trPr>
        <w:tc>
          <w:tcPr>
            <w:tcW w:w="2091" w:type="dxa"/>
            <w:shd w:val="clear" w:color="auto" w:fill="F1F1F1"/>
          </w:tcPr>
          <w:p w:rsidR="0010436A" w:rsidRDefault="0010436A" w:rsidP="002816A5">
            <w:pPr>
              <w:pStyle w:val="TableParagraph"/>
              <w:spacing w:before="40" w:line="290" w:lineRule="atLeast"/>
              <w:ind w:left="107" w:right="14"/>
              <w:rPr>
                <w:rFonts w:ascii="Calibri Light"/>
                <w:sz w:val="24"/>
              </w:rPr>
            </w:pPr>
            <w:r>
              <w:rPr>
                <w:rFonts w:ascii="Calibri Light"/>
                <w:sz w:val="24"/>
              </w:rPr>
              <w:t>Responsible to:</w:t>
            </w:r>
          </w:p>
        </w:tc>
        <w:tc>
          <w:tcPr>
            <w:tcW w:w="8683" w:type="dxa"/>
          </w:tcPr>
          <w:p w:rsidR="0010436A" w:rsidRDefault="00965F5F" w:rsidP="00965F5F">
            <w:pPr>
              <w:pStyle w:val="TableParagraph"/>
              <w:spacing w:before="40"/>
              <w:ind w:left="107"/>
              <w:rPr>
                <w:rFonts w:ascii="Calibri Light"/>
                <w:sz w:val="24"/>
              </w:rPr>
            </w:pPr>
            <w:r>
              <w:rPr>
                <w:rFonts w:ascii="Calibri Light"/>
                <w:sz w:val="24"/>
              </w:rPr>
              <w:t>Head of</w:t>
            </w:r>
            <w:r w:rsidR="00EA7BBD">
              <w:rPr>
                <w:rFonts w:ascii="Calibri Light"/>
                <w:sz w:val="24"/>
              </w:rPr>
              <w:t xml:space="preserve"> </w:t>
            </w:r>
            <w:r>
              <w:rPr>
                <w:rFonts w:ascii="Calibri Light"/>
                <w:sz w:val="24"/>
              </w:rPr>
              <w:t>Department</w:t>
            </w:r>
          </w:p>
        </w:tc>
      </w:tr>
      <w:tr w:rsidR="0010436A" w:rsidTr="005F5A3D">
        <w:trPr>
          <w:trHeight w:val="1220"/>
        </w:trPr>
        <w:tc>
          <w:tcPr>
            <w:tcW w:w="2091" w:type="dxa"/>
            <w:shd w:val="clear" w:color="auto" w:fill="F1F1F1"/>
          </w:tcPr>
          <w:p w:rsidR="0010436A" w:rsidRDefault="0010436A" w:rsidP="002816A5">
            <w:pPr>
              <w:pStyle w:val="TableParagraph"/>
              <w:spacing w:before="40"/>
              <w:ind w:left="107"/>
              <w:rPr>
                <w:rFonts w:ascii="Calibri Light"/>
                <w:sz w:val="24"/>
              </w:rPr>
            </w:pPr>
            <w:r>
              <w:rPr>
                <w:rFonts w:ascii="Calibri Light"/>
                <w:sz w:val="24"/>
              </w:rPr>
              <w:t>Purpose of role:</w:t>
            </w:r>
          </w:p>
        </w:tc>
        <w:tc>
          <w:tcPr>
            <w:tcW w:w="8683" w:type="dxa"/>
          </w:tcPr>
          <w:p w:rsidR="0010436A" w:rsidRDefault="0010436A" w:rsidP="00EA7BBD">
            <w:pPr>
              <w:pStyle w:val="TableParagraph"/>
              <w:ind w:left="107" w:right="91"/>
              <w:jc w:val="both"/>
            </w:pPr>
            <w:r>
              <w:t xml:space="preserve">To develop </w:t>
            </w:r>
            <w:r w:rsidR="00EA7BBD">
              <w:t>D&amp;T</w:t>
            </w:r>
            <w:r>
              <w:t xml:space="preserve"> and to raise the profile of t</w:t>
            </w:r>
            <w:r w:rsidR="00EA7BBD">
              <w:t xml:space="preserve">he department within the school. </w:t>
            </w:r>
            <w:r>
              <w:t>To</w:t>
            </w:r>
            <w:r>
              <w:rPr>
                <w:spacing w:val="-14"/>
              </w:rPr>
              <w:t xml:space="preserve"> </w:t>
            </w:r>
            <w:r>
              <w:t>support</w:t>
            </w:r>
            <w:r>
              <w:rPr>
                <w:spacing w:val="-14"/>
              </w:rPr>
              <w:t xml:space="preserve"> </w:t>
            </w:r>
            <w:r>
              <w:t>the</w:t>
            </w:r>
            <w:r>
              <w:rPr>
                <w:spacing w:val="-15"/>
              </w:rPr>
              <w:t xml:space="preserve"> </w:t>
            </w:r>
            <w:r w:rsidR="00EA7BBD">
              <w:t>Head of Department</w:t>
            </w:r>
            <w:r>
              <w:t xml:space="preserve"> and hold accountable, develop and lead a team ensuring high standards of teaching and learning and the well-being of staff and pupils. </w:t>
            </w:r>
          </w:p>
        </w:tc>
      </w:tr>
      <w:tr w:rsidR="0010436A" w:rsidTr="0010436A">
        <w:trPr>
          <w:trHeight w:val="448"/>
        </w:trPr>
        <w:tc>
          <w:tcPr>
            <w:tcW w:w="10774" w:type="dxa"/>
            <w:gridSpan w:val="2"/>
            <w:shd w:val="clear" w:color="auto" w:fill="F1F1F1"/>
          </w:tcPr>
          <w:p w:rsidR="0010436A" w:rsidRDefault="0010436A" w:rsidP="002816A5">
            <w:pPr>
              <w:pStyle w:val="TableParagraph"/>
              <w:spacing w:before="119"/>
              <w:ind w:left="107"/>
              <w:rPr>
                <w:rFonts w:ascii="Calibri Light"/>
              </w:rPr>
            </w:pPr>
            <w:r>
              <w:rPr>
                <w:rFonts w:ascii="Calibri Light"/>
              </w:rPr>
              <w:t>Specific departmental responsibilities:</w:t>
            </w:r>
          </w:p>
        </w:tc>
      </w:tr>
      <w:tr w:rsidR="0010436A" w:rsidTr="0010436A">
        <w:trPr>
          <w:trHeight w:val="5763"/>
        </w:trPr>
        <w:tc>
          <w:tcPr>
            <w:tcW w:w="10774" w:type="dxa"/>
            <w:gridSpan w:val="2"/>
          </w:tcPr>
          <w:p w:rsidR="0010436A" w:rsidRDefault="0010436A" w:rsidP="002816A5">
            <w:pPr>
              <w:pStyle w:val="TableParagraph"/>
              <w:numPr>
                <w:ilvl w:val="0"/>
                <w:numId w:val="2"/>
              </w:numPr>
              <w:tabs>
                <w:tab w:val="left" w:pos="828"/>
                <w:tab w:val="left" w:pos="829"/>
              </w:tabs>
              <w:spacing w:line="280" w:lineRule="exact"/>
            </w:pPr>
            <w:r>
              <w:t>To deputise</w:t>
            </w:r>
            <w:bookmarkStart w:id="0" w:name="_GoBack"/>
            <w:bookmarkEnd w:id="0"/>
            <w:r>
              <w:t xml:space="preserve"> for the </w:t>
            </w:r>
            <w:r w:rsidR="00EA7BBD">
              <w:t>Head of Department</w:t>
            </w:r>
            <w:r>
              <w:t xml:space="preserve"> in their absence</w:t>
            </w:r>
          </w:p>
          <w:p w:rsidR="0010436A" w:rsidRDefault="0010436A" w:rsidP="002816A5">
            <w:pPr>
              <w:pStyle w:val="TableParagraph"/>
              <w:numPr>
                <w:ilvl w:val="0"/>
                <w:numId w:val="2"/>
              </w:numPr>
              <w:tabs>
                <w:tab w:val="left" w:pos="828"/>
                <w:tab w:val="left" w:pos="829"/>
              </w:tabs>
              <w:spacing w:before="1"/>
            </w:pPr>
            <w:r>
              <w:t xml:space="preserve">Specific responsibility for the development of </w:t>
            </w:r>
            <w:r w:rsidR="00EA7BBD">
              <w:t>Food and Textiles</w:t>
            </w:r>
          </w:p>
          <w:p w:rsidR="0010436A" w:rsidRDefault="0010436A" w:rsidP="002816A5">
            <w:pPr>
              <w:pStyle w:val="TableParagraph"/>
              <w:numPr>
                <w:ilvl w:val="0"/>
                <w:numId w:val="2"/>
              </w:numPr>
              <w:tabs>
                <w:tab w:val="left" w:pos="828"/>
                <w:tab w:val="left" w:pos="829"/>
              </w:tabs>
              <w:spacing w:line="279" w:lineRule="exact"/>
            </w:pPr>
            <w:r>
              <w:t xml:space="preserve">Coordinate the extracurricular programme </w:t>
            </w:r>
          </w:p>
          <w:p w:rsidR="0010436A" w:rsidRDefault="0010436A" w:rsidP="002816A5">
            <w:pPr>
              <w:pStyle w:val="TableParagraph"/>
              <w:numPr>
                <w:ilvl w:val="0"/>
                <w:numId w:val="2"/>
              </w:numPr>
              <w:tabs>
                <w:tab w:val="left" w:pos="828"/>
                <w:tab w:val="left" w:pos="829"/>
              </w:tabs>
              <w:ind w:right="311"/>
            </w:pPr>
            <w:r>
              <w:t>To be an appraisal reviewer in a way which recognises good practice and supports their progress against appraisal objectives resulting in a clear and tangible impact on pupil</w:t>
            </w:r>
            <w:r>
              <w:rPr>
                <w:spacing w:val="-9"/>
              </w:rPr>
              <w:t xml:space="preserve"> </w:t>
            </w:r>
            <w:r>
              <w:t>learning</w:t>
            </w:r>
          </w:p>
          <w:p w:rsidR="0010436A" w:rsidRDefault="0010436A" w:rsidP="002816A5">
            <w:pPr>
              <w:pStyle w:val="TableParagraph"/>
              <w:numPr>
                <w:ilvl w:val="0"/>
                <w:numId w:val="2"/>
              </w:numPr>
              <w:tabs>
                <w:tab w:val="left" w:pos="828"/>
                <w:tab w:val="left" w:pos="829"/>
              </w:tabs>
              <w:spacing w:before="1"/>
              <w:ind w:right="487"/>
            </w:pPr>
            <w:r>
              <w:t>To engage all subject staff in the creation, consistent implementation and improvement of schemes of work, which encapsulate key school principles of great teaching and best suit the development of the subject’s</w:t>
            </w:r>
            <w:r>
              <w:rPr>
                <w:spacing w:val="-3"/>
              </w:rPr>
              <w:t xml:space="preserve"> </w:t>
            </w:r>
            <w:r>
              <w:t>curriculum</w:t>
            </w:r>
          </w:p>
          <w:p w:rsidR="0010436A" w:rsidRDefault="0010436A" w:rsidP="002816A5">
            <w:pPr>
              <w:pStyle w:val="TableParagraph"/>
              <w:numPr>
                <w:ilvl w:val="0"/>
                <w:numId w:val="2"/>
              </w:numPr>
              <w:tabs>
                <w:tab w:val="left" w:pos="828"/>
                <w:tab w:val="left" w:pos="829"/>
              </w:tabs>
              <w:spacing w:before="1" w:line="279" w:lineRule="exact"/>
            </w:pPr>
            <w:r>
              <w:t>To monitor and evaluate the standards of teaching and the quality of education within the</w:t>
            </w:r>
            <w:r>
              <w:rPr>
                <w:spacing w:val="-23"/>
              </w:rPr>
              <w:t xml:space="preserve"> </w:t>
            </w:r>
            <w:r>
              <w:t>department</w:t>
            </w:r>
          </w:p>
          <w:p w:rsidR="0010436A" w:rsidRDefault="0010436A" w:rsidP="002816A5">
            <w:pPr>
              <w:pStyle w:val="TableParagraph"/>
              <w:numPr>
                <w:ilvl w:val="0"/>
                <w:numId w:val="2"/>
              </w:numPr>
              <w:tabs>
                <w:tab w:val="left" w:pos="828"/>
                <w:tab w:val="left" w:pos="829"/>
              </w:tabs>
              <w:ind w:right="329"/>
            </w:pPr>
            <w:r>
              <w:t>To agree, monitor and evaluate the subject pupil progress targets to make a measurable contribution to whole school targets including data management and catch-up and extension</w:t>
            </w:r>
            <w:r>
              <w:rPr>
                <w:spacing w:val="-16"/>
              </w:rPr>
              <w:t xml:space="preserve"> </w:t>
            </w:r>
            <w:r>
              <w:t>workshops</w:t>
            </w:r>
          </w:p>
          <w:p w:rsidR="0010436A" w:rsidRDefault="0010436A" w:rsidP="002816A5">
            <w:pPr>
              <w:pStyle w:val="TableParagraph"/>
              <w:numPr>
                <w:ilvl w:val="0"/>
                <w:numId w:val="2"/>
              </w:numPr>
              <w:tabs>
                <w:tab w:val="left" w:pos="828"/>
                <w:tab w:val="left" w:pos="829"/>
              </w:tabs>
              <w:ind w:right="610"/>
            </w:pPr>
            <w:r>
              <w:t>To ensure all subject staff understand, and are actively implementing, the key aspects of the school’s behaviour and inclusion policies including the celebration of pupil success e.g. Positive Behaviour, assemblies, displays, awards, rewards, publicity</w:t>
            </w:r>
          </w:p>
          <w:p w:rsidR="0010436A" w:rsidRDefault="0010436A" w:rsidP="002816A5">
            <w:pPr>
              <w:pStyle w:val="TableParagraph"/>
              <w:numPr>
                <w:ilvl w:val="0"/>
                <w:numId w:val="2"/>
              </w:numPr>
              <w:tabs>
                <w:tab w:val="left" w:pos="828"/>
                <w:tab w:val="left" w:pos="829"/>
              </w:tabs>
              <w:spacing w:line="279" w:lineRule="exact"/>
            </w:pPr>
            <w:r>
              <w:t>Have the ability to oversee the induction and development of ITT students and NQTs in the subject</w:t>
            </w:r>
            <w:r>
              <w:rPr>
                <w:spacing w:val="-20"/>
              </w:rPr>
              <w:t xml:space="preserve"> </w:t>
            </w:r>
            <w:r>
              <w:t>area</w:t>
            </w:r>
          </w:p>
          <w:p w:rsidR="0010436A" w:rsidRDefault="0010436A" w:rsidP="002816A5">
            <w:pPr>
              <w:pStyle w:val="TableParagraph"/>
              <w:numPr>
                <w:ilvl w:val="0"/>
                <w:numId w:val="2"/>
              </w:numPr>
              <w:tabs>
                <w:tab w:val="left" w:pos="828"/>
                <w:tab w:val="left" w:pos="829"/>
              </w:tabs>
              <w:ind w:right="355"/>
            </w:pPr>
            <w:r>
              <w:t>To ensure effective communication/consultation as appropriate with the parents of pupils including the monitoring and evaluation of subject reports to</w:t>
            </w:r>
            <w:r>
              <w:rPr>
                <w:spacing w:val="-9"/>
              </w:rPr>
              <w:t xml:space="preserve"> </w:t>
            </w:r>
            <w:r>
              <w:t>parents</w:t>
            </w:r>
          </w:p>
          <w:p w:rsidR="0010436A" w:rsidRDefault="0010436A" w:rsidP="002816A5">
            <w:pPr>
              <w:pStyle w:val="TableParagraph"/>
              <w:numPr>
                <w:ilvl w:val="0"/>
                <w:numId w:val="2"/>
              </w:numPr>
              <w:tabs>
                <w:tab w:val="left" w:pos="828"/>
                <w:tab w:val="left" w:pos="829"/>
              </w:tabs>
              <w:spacing w:before="1"/>
            </w:pPr>
            <w:r>
              <w:t>To adhere to and work within the school’s child protection and safeguarding</w:t>
            </w:r>
            <w:r>
              <w:rPr>
                <w:spacing w:val="-11"/>
              </w:rPr>
              <w:t xml:space="preserve"> </w:t>
            </w:r>
            <w:r>
              <w:t>policies</w:t>
            </w:r>
          </w:p>
          <w:p w:rsidR="0010436A" w:rsidRDefault="0010436A" w:rsidP="002816A5">
            <w:pPr>
              <w:pStyle w:val="TableParagraph"/>
              <w:numPr>
                <w:ilvl w:val="0"/>
                <w:numId w:val="2"/>
              </w:numPr>
              <w:tabs>
                <w:tab w:val="left" w:pos="828"/>
                <w:tab w:val="left" w:pos="829"/>
              </w:tabs>
              <w:ind w:right="224"/>
            </w:pPr>
            <w:r>
              <w:t>To adhere to and work within the school’s health and safety; security; confidentiality and data protection policies and</w:t>
            </w:r>
            <w:r>
              <w:rPr>
                <w:spacing w:val="-3"/>
              </w:rPr>
              <w:t xml:space="preserve"> </w:t>
            </w:r>
            <w:r>
              <w:t>procedures.</w:t>
            </w:r>
          </w:p>
        </w:tc>
      </w:tr>
      <w:tr w:rsidR="0010436A" w:rsidTr="0010436A">
        <w:trPr>
          <w:trHeight w:val="450"/>
        </w:trPr>
        <w:tc>
          <w:tcPr>
            <w:tcW w:w="10774" w:type="dxa"/>
            <w:gridSpan w:val="2"/>
            <w:shd w:val="clear" w:color="auto" w:fill="F1F1F1"/>
          </w:tcPr>
          <w:p w:rsidR="0010436A" w:rsidRDefault="0010436A" w:rsidP="002816A5">
            <w:pPr>
              <w:pStyle w:val="TableParagraph"/>
              <w:spacing w:before="121"/>
              <w:ind w:left="107"/>
              <w:rPr>
                <w:rFonts w:ascii="Calibri Light"/>
              </w:rPr>
            </w:pPr>
            <w:r>
              <w:rPr>
                <w:rFonts w:ascii="Calibri Light"/>
              </w:rPr>
              <w:t>Generic responsibilities:</w:t>
            </w:r>
          </w:p>
        </w:tc>
      </w:tr>
      <w:tr w:rsidR="0010436A" w:rsidTr="0010436A">
        <w:trPr>
          <w:trHeight w:val="3049"/>
        </w:trPr>
        <w:tc>
          <w:tcPr>
            <w:tcW w:w="10774" w:type="dxa"/>
            <w:gridSpan w:val="2"/>
          </w:tcPr>
          <w:p w:rsidR="0010436A" w:rsidRDefault="0010436A" w:rsidP="002816A5">
            <w:pPr>
              <w:pStyle w:val="TableParagraph"/>
              <w:spacing w:line="268" w:lineRule="exact"/>
              <w:ind w:left="107"/>
            </w:pPr>
            <w:r>
              <w:t>Prepare and teach lessons of a high standard to the pupils assigned to them</w:t>
            </w:r>
          </w:p>
          <w:p w:rsidR="0010436A" w:rsidRDefault="0010436A" w:rsidP="002816A5">
            <w:pPr>
              <w:pStyle w:val="TableParagraph"/>
              <w:spacing w:before="10"/>
            </w:pPr>
          </w:p>
          <w:p w:rsidR="0010436A" w:rsidRDefault="0010436A" w:rsidP="002816A5">
            <w:pPr>
              <w:pStyle w:val="TableParagraph"/>
              <w:numPr>
                <w:ilvl w:val="0"/>
                <w:numId w:val="1"/>
              </w:numPr>
              <w:tabs>
                <w:tab w:val="left" w:pos="828"/>
                <w:tab w:val="left" w:pos="829"/>
              </w:tabs>
            </w:pPr>
            <w:r>
              <w:t>Following designated programmes of</w:t>
            </w:r>
            <w:r>
              <w:rPr>
                <w:spacing w:val="-7"/>
              </w:rPr>
              <w:t xml:space="preserve"> </w:t>
            </w:r>
            <w:r>
              <w:t>study</w:t>
            </w:r>
          </w:p>
          <w:p w:rsidR="0010436A" w:rsidRDefault="0010436A" w:rsidP="002816A5">
            <w:pPr>
              <w:pStyle w:val="TableParagraph"/>
              <w:numPr>
                <w:ilvl w:val="0"/>
                <w:numId w:val="1"/>
              </w:numPr>
              <w:tabs>
                <w:tab w:val="left" w:pos="828"/>
                <w:tab w:val="left" w:pos="829"/>
              </w:tabs>
              <w:spacing w:before="1"/>
            </w:pPr>
            <w:r>
              <w:t>Carrying out the necessary</w:t>
            </w:r>
            <w:r>
              <w:rPr>
                <w:spacing w:val="-10"/>
              </w:rPr>
              <w:t xml:space="preserve"> </w:t>
            </w:r>
            <w:r>
              <w:t>assessments</w:t>
            </w:r>
          </w:p>
          <w:p w:rsidR="0010436A" w:rsidRDefault="0010436A" w:rsidP="002816A5">
            <w:pPr>
              <w:pStyle w:val="TableParagraph"/>
              <w:numPr>
                <w:ilvl w:val="0"/>
                <w:numId w:val="1"/>
              </w:numPr>
              <w:tabs>
                <w:tab w:val="left" w:pos="828"/>
                <w:tab w:val="left" w:pos="829"/>
              </w:tabs>
              <w:spacing w:line="279" w:lineRule="exact"/>
            </w:pPr>
            <w:r>
              <w:t>Providing information/comments for</w:t>
            </w:r>
            <w:r>
              <w:rPr>
                <w:spacing w:val="-7"/>
              </w:rPr>
              <w:t xml:space="preserve"> </w:t>
            </w:r>
            <w:r>
              <w:t>records</w:t>
            </w:r>
          </w:p>
          <w:p w:rsidR="0010436A" w:rsidRDefault="0010436A" w:rsidP="002816A5">
            <w:pPr>
              <w:pStyle w:val="TableParagraph"/>
              <w:numPr>
                <w:ilvl w:val="0"/>
                <w:numId w:val="1"/>
              </w:numPr>
              <w:tabs>
                <w:tab w:val="left" w:pos="828"/>
                <w:tab w:val="left" w:pos="829"/>
              </w:tabs>
              <w:spacing w:line="279" w:lineRule="exact"/>
            </w:pPr>
            <w:r>
              <w:t>Monitoring pupils in accordance with agreed departmental</w:t>
            </w:r>
            <w:r>
              <w:rPr>
                <w:spacing w:val="-4"/>
              </w:rPr>
              <w:t xml:space="preserve"> </w:t>
            </w:r>
            <w:r>
              <w:t>strategies</w:t>
            </w:r>
          </w:p>
          <w:p w:rsidR="0010436A" w:rsidRDefault="0010436A" w:rsidP="002816A5">
            <w:pPr>
              <w:pStyle w:val="TableParagraph"/>
              <w:numPr>
                <w:ilvl w:val="0"/>
                <w:numId w:val="1"/>
              </w:numPr>
              <w:tabs>
                <w:tab w:val="left" w:pos="828"/>
                <w:tab w:val="left" w:pos="829"/>
              </w:tabs>
              <w:spacing w:before="1"/>
              <w:ind w:right="111"/>
            </w:pPr>
            <w:r>
              <w:t>Maintain discipline in accordance with school policies and demonstrate good practice in the classes taught with regard to attendance, appearance, uniform, punctuality, behaviour, homework</w:t>
            </w:r>
            <w:r>
              <w:rPr>
                <w:spacing w:val="-11"/>
              </w:rPr>
              <w:t xml:space="preserve"> </w:t>
            </w:r>
            <w:r>
              <w:t>etc.</w:t>
            </w:r>
          </w:p>
          <w:p w:rsidR="0010436A" w:rsidRDefault="0010436A" w:rsidP="002816A5">
            <w:pPr>
              <w:pStyle w:val="TableParagraph"/>
              <w:numPr>
                <w:ilvl w:val="0"/>
                <w:numId w:val="1"/>
              </w:numPr>
              <w:tabs>
                <w:tab w:val="left" w:pos="828"/>
                <w:tab w:val="left" w:pos="829"/>
              </w:tabs>
              <w:spacing w:before="1"/>
              <w:ind w:right="118"/>
            </w:pPr>
            <w:r>
              <w:t>Participate in the applications of the school homework policy which includes setting, making of homework and monitoring homework</w:t>
            </w:r>
            <w:r>
              <w:rPr>
                <w:spacing w:val="-8"/>
              </w:rPr>
              <w:t xml:space="preserve"> </w:t>
            </w:r>
            <w:r>
              <w:t>diaries</w:t>
            </w:r>
          </w:p>
          <w:p w:rsidR="0010436A" w:rsidRDefault="0010436A" w:rsidP="002816A5">
            <w:pPr>
              <w:pStyle w:val="TableParagraph"/>
              <w:numPr>
                <w:ilvl w:val="0"/>
                <w:numId w:val="1"/>
              </w:numPr>
              <w:tabs>
                <w:tab w:val="left" w:pos="828"/>
                <w:tab w:val="left" w:pos="829"/>
              </w:tabs>
              <w:spacing w:line="279" w:lineRule="exact"/>
            </w:pPr>
            <w:r>
              <w:t>Engage in continuous self-professional development in relevant</w:t>
            </w:r>
            <w:r>
              <w:rPr>
                <w:spacing w:val="-5"/>
              </w:rPr>
              <w:t xml:space="preserve"> </w:t>
            </w:r>
            <w:r>
              <w:t>areas.</w:t>
            </w:r>
          </w:p>
        </w:tc>
      </w:tr>
    </w:tbl>
    <w:p w:rsidR="00FC6A15" w:rsidRDefault="00EA7BBD"/>
    <w:sectPr w:rsidR="00FC6A15" w:rsidSect="001043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61B23"/>
    <w:multiLevelType w:val="hybridMultilevel"/>
    <w:tmpl w:val="84F66B52"/>
    <w:lvl w:ilvl="0" w:tplc="8FF2A1CE">
      <w:numFmt w:val="bullet"/>
      <w:lvlText w:val=""/>
      <w:lvlJc w:val="left"/>
      <w:pPr>
        <w:ind w:left="828" w:hanging="361"/>
      </w:pPr>
      <w:rPr>
        <w:rFonts w:ascii="Symbol" w:eastAsia="Symbol" w:hAnsi="Symbol" w:cs="Symbol" w:hint="default"/>
        <w:w w:val="100"/>
        <w:sz w:val="22"/>
        <w:szCs w:val="22"/>
      </w:rPr>
    </w:lvl>
    <w:lvl w:ilvl="1" w:tplc="EA3698BA">
      <w:numFmt w:val="bullet"/>
      <w:lvlText w:val="•"/>
      <w:lvlJc w:val="left"/>
      <w:pPr>
        <w:ind w:left="1782" w:hanging="361"/>
      </w:pPr>
      <w:rPr>
        <w:rFonts w:hint="default"/>
      </w:rPr>
    </w:lvl>
    <w:lvl w:ilvl="2" w:tplc="96803CA8">
      <w:numFmt w:val="bullet"/>
      <w:lvlText w:val="•"/>
      <w:lvlJc w:val="left"/>
      <w:pPr>
        <w:ind w:left="2745" w:hanging="361"/>
      </w:pPr>
      <w:rPr>
        <w:rFonts w:hint="default"/>
      </w:rPr>
    </w:lvl>
    <w:lvl w:ilvl="3" w:tplc="4AA62432">
      <w:numFmt w:val="bullet"/>
      <w:lvlText w:val="•"/>
      <w:lvlJc w:val="left"/>
      <w:pPr>
        <w:ind w:left="3708" w:hanging="361"/>
      </w:pPr>
      <w:rPr>
        <w:rFonts w:hint="default"/>
      </w:rPr>
    </w:lvl>
    <w:lvl w:ilvl="4" w:tplc="0F0477AE">
      <w:numFmt w:val="bullet"/>
      <w:lvlText w:val="•"/>
      <w:lvlJc w:val="left"/>
      <w:pPr>
        <w:ind w:left="4671" w:hanging="361"/>
      </w:pPr>
      <w:rPr>
        <w:rFonts w:hint="default"/>
      </w:rPr>
    </w:lvl>
    <w:lvl w:ilvl="5" w:tplc="C200031C">
      <w:numFmt w:val="bullet"/>
      <w:lvlText w:val="•"/>
      <w:lvlJc w:val="left"/>
      <w:pPr>
        <w:ind w:left="5634" w:hanging="361"/>
      </w:pPr>
      <w:rPr>
        <w:rFonts w:hint="default"/>
      </w:rPr>
    </w:lvl>
    <w:lvl w:ilvl="6" w:tplc="82128096">
      <w:numFmt w:val="bullet"/>
      <w:lvlText w:val="•"/>
      <w:lvlJc w:val="left"/>
      <w:pPr>
        <w:ind w:left="6597" w:hanging="361"/>
      </w:pPr>
      <w:rPr>
        <w:rFonts w:hint="default"/>
      </w:rPr>
    </w:lvl>
    <w:lvl w:ilvl="7" w:tplc="8474C9CC">
      <w:numFmt w:val="bullet"/>
      <w:lvlText w:val="•"/>
      <w:lvlJc w:val="left"/>
      <w:pPr>
        <w:ind w:left="7560" w:hanging="361"/>
      </w:pPr>
      <w:rPr>
        <w:rFonts w:hint="default"/>
      </w:rPr>
    </w:lvl>
    <w:lvl w:ilvl="8" w:tplc="41C48882">
      <w:numFmt w:val="bullet"/>
      <w:lvlText w:val="•"/>
      <w:lvlJc w:val="left"/>
      <w:pPr>
        <w:ind w:left="8523" w:hanging="361"/>
      </w:pPr>
      <w:rPr>
        <w:rFonts w:hint="default"/>
      </w:rPr>
    </w:lvl>
  </w:abstractNum>
  <w:abstractNum w:abstractNumId="1" w15:restartNumberingAfterBreak="0">
    <w:nsid w:val="434D366A"/>
    <w:multiLevelType w:val="hybridMultilevel"/>
    <w:tmpl w:val="8C983A22"/>
    <w:lvl w:ilvl="0" w:tplc="95C8B98E">
      <w:numFmt w:val="bullet"/>
      <w:lvlText w:val=""/>
      <w:lvlJc w:val="left"/>
      <w:pPr>
        <w:ind w:left="828" w:hanging="361"/>
      </w:pPr>
      <w:rPr>
        <w:rFonts w:ascii="Symbol" w:eastAsia="Symbol" w:hAnsi="Symbol" w:cs="Symbol" w:hint="default"/>
        <w:w w:val="100"/>
        <w:sz w:val="22"/>
        <w:szCs w:val="22"/>
      </w:rPr>
    </w:lvl>
    <w:lvl w:ilvl="1" w:tplc="362A43EC">
      <w:numFmt w:val="bullet"/>
      <w:lvlText w:val="•"/>
      <w:lvlJc w:val="left"/>
      <w:pPr>
        <w:ind w:left="1782" w:hanging="361"/>
      </w:pPr>
      <w:rPr>
        <w:rFonts w:hint="default"/>
      </w:rPr>
    </w:lvl>
    <w:lvl w:ilvl="2" w:tplc="2F2034D6">
      <w:numFmt w:val="bullet"/>
      <w:lvlText w:val="•"/>
      <w:lvlJc w:val="left"/>
      <w:pPr>
        <w:ind w:left="2745" w:hanging="361"/>
      </w:pPr>
      <w:rPr>
        <w:rFonts w:hint="default"/>
      </w:rPr>
    </w:lvl>
    <w:lvl w:ilvl="3" w:tplc="592416C6">
      <w:numFmt w:val="bullet"/>
      <w:lvlText w:val="•"/>
      <w:lvlJc w:val="left"/>
      <w:pPr>
        <w:ind w:left="3708" w:hanging="361"/>
      </w:pPr>
      <w:rPr>
        <w:rFonts w:hint="default"/>
      </w:rPr>
    </w:lvl>
    <w:lvl w:ilvl="4" w:tplc="1D50D482">
      <w:numFmt w:val="bullet"/>
      <w:lvlText w:val="•"/>
      <w:lvlJc w:val="left"/>
      <w:pPr>
        <w:ind w:left="4671" w:hanging="361"/>
      </w:pPr>
      <w:rPr>
        <w:rFonts w:hint="default"/>
      </w:rPr>
    </w:lvl>
    <w:lvl w:ilvl="5" w:tplc="271601AA">
      <w:numFmt w:val="bullet"/>
      <w:lvlText w:val="•"/>
      <w:lvlJc w:val="left"/>
      <w:pPr>
        <w:ind w:left="5634" w:hanging="361"/>
      </w:pPr>
      <w:rPr>
        <w:rFonts w:hint="default"/>
      </w:rPr>
    </w:lvl>
    <w:lvl w:ilvl="6" w:tplc="290E86FA">
      <w:numFmt w:val="bullet"/>
      <w:lvlText w:val="•"/>
      <w:lvlJc w:val="left"/>
      <w:pPr>
        <w:ind w:left="6597" w:hanging="361"/>
      </w:pPr>
      <w:rPr>
        <w:rFonts w:hint="default"/>
      </w:rPr>
    </w:lvl>
    <w:lvl w:ilvl="7" w:tplc="BB74C982">
      <w:numFmt w:val="bullet"/>
      <w:lvlText w:val="•"/>
      <w:lvlJc w:val="left"/>
      <w:pPr>
        <w:ind w:left="7560" w:hanging="361"/>
      </w:pPr>
      <w:rPr>
        <w:rFonts w:hint="default"/>
      </w:rPr>
    </w:lvl>
    <w:lvl w:ilvl="8" w:tplc="229AC37C">
      <w:numFmt w:val="bullet"/>
      <w:lvlText w:val="•"/>
      <w:lvlJc w:val="left"/>
      <w:pPr>
        <w:ind w:left="8523"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6A"/>
    <w:rsid w:val="0010436A"/>
    <w:rsid w:val="004C1957"/>
    <w:rsid w:val="004E39DC"/>
    <w:rsid w:val="005C6C7A"/>
    <w:rsid w:val="005F5A3D"/>
    <w:rsid w:val="00965F5F"/>
    <w:rsid w:val="00B55A80"/>
    <w:rsid w:val="00C2155B"/>
    <w:rsid w:val="00EA7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D851"/>
  <w15:chartTrackingRefBased/>
  <w15:docId w15:val="{33640169-4FB3-498E-A353-72A520CE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436A"/>
    <w:pPr>
      <w:widowControl w:val="0"/>
      <w:autoSpaceDE w:val="0"/>
      <w:autoSpaceDN w:val="0"/>
    </w:pPr>
    <w:rPr>
      <w:rFonts w:ascii="Calibri" w:eastAsia="Calibri" w:hAnsi="Calibri" w:cs="Calibri"/>
      <w:lang w:val="en-US"/>
    </w:rPr>
  </w:style>
  <w:style w:type="paragraph" w:styleId="Heading1">
    <w:name w:val="heading 1"/>
    <w:basedOn w:val="Normal"/>
    <w:link w:val="Heading1Char"/>
    <w:uiPriority w:val="1"/>
    <w:qFormat/>
    <w:rsid w:val="0010436A"/>
    <w:pPr>
      <w:spacing w:before="35"/>
      <w:ind w:left="934"/>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436A"/>
    <w:rPr>
      <w:rFonts w:ascii="Calibri Light" w:eastAsia="Calibri Light" w:hAnsi="Calibri Light" w:cs="Calibri Light"/>
      <w:sz w:val="32"/>
      <w:szCs w:val="32"/>
      <w:lang w:val="en-US"/>
    </w:rPr>
  </w:style>
  <w:style w:type="paragraph" w:customStyle="1" w:styleId="TableParagraph">
    <w:name w:val="Table Paragraph"/>
    <w:basedOn w:val="Normal"/>
    <w:uiPriority w:val="1"/>
    <w:qFormat/>
    <w:rsid w:val="0010436A"/>
  </w:style>
  <w:style w:type="paragraph" w:styleId="BalloonText">
    <w:name w:val="Balloon Text"/>
    <w:basedOn w:val="Normal"/>
    <w:link w:val="BalloonTextChar"/>
    <w:uiPriority w:val="99"/>
    <w:semiHidden/>
    <w:unhideWhenUsed/>
    <w:rsid w:val="005C6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7A"/>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2019-03-04T12:04:00Z</cp:lastPrinted>
  <dcterms:created xsi:type="dcterms:W3CDTF">2019-05-10T08:45:00Z</dcterms:created>
  <dcterms:modified xsi:type="dcterms:W3CDTF">2019-05-10T08:45:00Z</dcterms:modified>
</cp:coreProperties>
</file>