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9B" w:rsidRPr="00B25A5D" w:rsidRDefault="0037799B" w:rsidP="00B25A5D">
      <w:pPr>
        <w:rPr>
          <w:color w:val="00A1CF" w:themeColor="text2"/>
          <w:sz w:val="48"/>
          <w:szCs w:val="48"/>
        </w:rPr>
      </w:pPr>
      <w:r w:rsidRPr="00B25A5D">
        <w:rPr>
          <w:color w:val="00A1CF" w:themeColor="text2"/>
          <w:sz w:val="48"/>
          <w:szCs w:val="48"/>
        </w:rPr>
        <w:t>What will be filtered by the DBS?</w:t>
      </w:r>
    </w:p>
    <w:p w:rsidR="0037799B" w:rsidRPr="00127C3B" w:rsidRDefault="0037799B" w:rsidP="00B25A5D">
      <w:pPr>
        <w:pStyle w:val="Default"/>
        <w:rPr>
          <w:rFonts w:eastAsia="Arial"/>
          <w:color w:val="00A1CF" w:themeColor="text2"/>
          <w:sz w:val="48"/>
          <w:szCs w:val="48"/>
          <w:lang w:val="en"/>
        </w:rPr>
      </w:pPr>
      <w:r w:rsidRPr="00127C3B">
        <w:rPr>
          <w:rFonts w:eastAsia="Arial"/>
          <w:color w:val="00A1CF" w:themeColor="text2"/>
          <w:sz w:val="48"/>
          <w:szCs w:val="48"/>
          <w:lang w:val="en"/>
        </w:rPr>
        <w:t>Disclosing to employers - Information series</w:t>
      </w:r>
    </w:p>
    <w:p w:rsidR="0037799B" w:rsidRDefault="0037799B" w:rsidP="0037799B">
      <w:pPr>
        <w:pStyle w:val="Default"/>
        <w:rPr>
          <w:sz w:val="20"/>
          <w:szCs w:val="20"/>
        </w:rPr>
      </w:pPr>
    </w:p>
    <w:p w:rsidR="0037799B" w:rsidRPr="0037799B" w:rsidRDefault="0037799B" w:rsidP="0037799B">
      <w:pPr>
        <w:pStyle w:val="Default"/>
        <w:rPr>
          <w:sz w:val="22"/>
          <w:szCs w:val="22"/>
        </w:rPr>
      </w:pPr>
      <w:r w:rsidRPr="0037799B">
        <w:rPr>
          <w:sz w:val="22"/>
          <w:szCs w:val="22"/>
        </w:rPr>
        <w:t>Since May 2013, standard and enhanced checks no longer disclose ALL cautions and convictions. Following a Court of Appeal ruling, the G</w:t>
      </w:r>
      <w:bookmarkStart w:id="0" w:name="_GoBack"/>
      <w:bookmarkEnd w:id="0"/>
      <w:r w:rsidRPr="0037799B">
        <w:rPr>
          <w:sz w:val="22"/>
          <w:szCs w:val="22"/>
        </w:rPr>
        <w:t xml:space="preserve">overnment introduced a process of ‘filtering’. </w:t>
      </w:r>
    </w:p>
    <w:p w:rsidR="0037799B" w:rsidRPr="0037799B" w:rsidRDefault="0037799B" w:rsidP="0037799B">
      <w:pPr>
        <w:pStyle w:val="Default"/>
        <w:rPr>
          <w:b/>
          <w:bCs/>
          <w:sz w:val="22"/>
          <w:szCs w:val="22"/>
        </w:rPr>
      </w:pPr>
    </w:p>
    <w:p w:rsidR="0037799B" w:rsidRPr="00B25A5D" w:rsidRDefault="0037799B" w:rsidP="0037799B">
      <w:pPr>
        <w:pStyle w:val="Default"/>
        <w:rPr>
          <w:color w:val="00A1CF" w:themeColor="text2"/>
          <w:sz w:val="40"/>
          <w:szCs w:val="40"/>
        </w:rPr>
      </w:pPr>
      <w:r w:rsidRPr="00B25A5D">
        <w:rPr>
          <w:bCs/>
          <w:color w:val="00A1CF" w:themeColor="text2"/>
          <w:sz w:val="40"/>
          <w:szCs w:val="40"/>
        </w:rPr>
        <w:t xml:space="preserve">How it works </w:t>
      </w:r>
    </w:p>
    <w:p w:rsidR="0037799B" w:rsidRPr="0037799B" w:rsidRDefault="0037799B" w:rsidP="0037799B">
      <w:pPr>
        <w:pStyle w:val="Default"/>
        <w:rPr>
          <w:sz w:val="22"/>
          <w:szCs w:val="22"/>
        </w:rPr>
      </w:pPr>
      <w:r w:rsidRPr="0037799B">
        <w:rPr>
          <w:sz w:val="22"/>
          <w:szCs w:val="22"/>
        </w:rPr>
        <w:t xml:space="preserve">‘Filtering’ is similar in its concept to the rehabilitation periods under the Rehabilitation of Offenders Act 1974. However, instead of establishing what is ‘spent’ and so what doesn’t get disclosed on a basic check, ‘filtering’ establishes what </w:t>
      </w:r>
      <w:r w:rsidRPr="0037799B">
        <w:rPr>
          <w:i/>
          <w:iCs/>
          <w:sz w:val="22"/>
          <w:szCs w:val="22"/>
        </w:rPr>
        <w:t xml:space="preserve">doesn’t </w:t>
      </w:r>
      <w:r w:rsidRPr="0037799B">
        <w:rPr>
          <w:sz w:val="22"/>
          <w:szCs w:val="22"/>
        </w:rPr>
        <w:t xml:space="preserve">get disclosed on a standard or enhanced DBS check. </w:t>
      </w:r>
    </w:p>
    <w:p w:rsidR="0037799B" w:rsidRPr="0037799B" w:rsidRDefault="0037799B" w:rsidP="0037799B">
      <w:pPr>
        <w:pStyle w:val="Default"/>
        <w:rPr>
          <w:sz w:val="22"/>
          <w:szCs w:val="22"/>
        </w:rPr>
      </w:pPr>
      <w:r w:rsidRPr="0037799B">
        <w:rPr>
          <w:sz w:val="22"/>
          <w:szCs w:val="22"/>
        </w:rPr>
        <w:t>Information that is filtered will be removed from a DBS check automatically the next time you apply for one. But it doesn’t get ‘removed’ or ‘wiped’ from police records. In practice, it means that if you’re applying for a job or role that involves a DBS check, you are legally entitled to withhold the details of anything that would now be filtered.</w:t>
      </w:r>
    </w:p>
    <w:p w:rsidR="0037799B" w:rsidRPr="0037799B" w:rsidRDefault="0037799B" w:rsidP="0037799B">
      <w:pPr>
        <w:pStyle w:val="Default"/>
        <w:rPr>
          <w:sz w:val="22"/>
          <w:szCs w:val="22"/>
        </w:rPr>
      </w:pPr>
    </w:p>
    <w:p w:rsidR="0037799B" w:rsidRPr="00B25A5D" w:rsidRDefault="0037799B" w:rsidP="0037799B">
      <w:pPr>
        <w:pStyle w:val="Default"/>
        <w:rPr>
          <w:bCs/>
          <w:color w:val="00A1CF" w:themeColor="text2"/>
          <w:sz w:val="40"/>
          <w:szCs w:val="40"/>
        </w:rPr>
      </w:pPr>
      <w:r w:rsidRPr="00B25A5D">
        <w:rPr>
          <w:bCs/>
          <w:color w:val="00A1CF" w:themeColor="text2"/>
          <w:sz w:val="40"/>
          <w:szCs w:val="40"/>
        </w:rPr>
        <w:t xml:space="preserve">What it applies to </w:t>
      </w:r>
    </w:p>
    <w:p w:rsidR="0037799B" w:rsidRPr="0037799B" w:rsidRDefault="0037799B" w:rsidP="0037799B">
      <w:pPr>
        <w:pStyle w:val="Default"/>
        <w:rPr>
          <w:sz w:val="22"/>
          <w:szCs w:val="22"/>
        </w:rPr>
      </w:pPr>
      <w:r w:rsidRPr="00B25A5D">
        <w:rPr>
          <w:rFonts w:eastAsia="Arial"/>
          <w:color w:val="6D6D6D"/>
          <w:sz w:val="22"/>
          <w:szCs w:val="22"/>
          <w:lang w:val="en"/>
        </w:rPr>
        <w:t>Cautions</w:t>
      </w:r>
      <w:r w:rsidRPr="0037799B">
        <w:rPr>
          <w:b/>
          <w:bCs/>
          <w:sz w:val="22"/>
          <w:szCs w:val="22"/>
        </w:rPr>
        <w:t xml:space="preserve"> </w:t>
      </w:r>
      <w:r w:rsidRPr="0037799B">
        <w:rPr>
          <w:sz w:val="22"/>
          <w:szCs w:val="22"/>
        </w:rPr>
        <w:t>– Multiple cautions can be filtered, so long as the offences are eligible and the relevant time period has passed for each. Each caution is dealt with separately in terms of when it’s filtered.</w:t>
      </w:r>
    </w:p>
    <w:p w:rsidR="0037799B" w:rsidRPr="0037799B" w:rsidRDefault="0037799B" w:rsidP="0037799B">
      <w:pPr>
        <w:pStyle w:val="Default"/>
        <w:rPr>
          <w:sz w:val="22"/>
          <w:szCs w:val="22"/>
        </w:rPr>
      </w:pPr>
    </w:p>
    <w:p w:rsidR="0037799B" w:rsidRPr="0037799B" w:rsidRDefault="0037799B" w:rsidP="0037799B">
      <w:pPr>
        <w:pStyle w:val="Default"/>
        <w:rPr>
          <w:sz w:val="22"/>
          <w:szCs w:val="22"/>
        </w:rPr>
      </w:pPr>
      <w:r w:rsidRPr="00B25A5D">
        <w:rPr>
          <w:rFonts w:eastAsia="Arial"/>
          <w:color w:val="6D6D6D"/>
          <w:sz w:val="22"/>
          <w:szCs w:val="22"/>
          <w:lang w:val="en"/>
        </w:rPr>
        <w:t>Convictions</w:t>
      </w:r>
      <w:r w:rsidRPr="0037799B">
        <w:rPr>
          <w:b/>
          <w:bCs/>
          <w:sz w:val="22"/>
          <w:szCs w:val="22"/>
        </w:rPr>
        <w:t xml:space="preserve"> </w:t>
      </w:r>
      <w:r w:rsidRPr="0037799B">
        <w:rPr>
          <w:sz w:val="22"/>
          <w:szCs w:val="22"/>
        </w:rPr>
        <w:t>– Only single convictions that didn’t lead to a suspended or custodial sentence can be filtered, so long as the offence is eligible and the relevant time period has passed.</w:t>
      </w:r>
    </w:p>
    <w:p w:rsidR="0037799B" w:rsidRPr="0037799B" w:rsidRDefault="0037799B" w:rsidP="0037799B">
      <w:pPr>
        <w:pStyle w:val="Default"/>
        <w:rPr>
          <w:sz w:val="22"/>
          <w:szCs w:val="22"/>
        </w:rPr>
      </w:pPr>
    </w:p>
    <w:p w:rsidR="0037799B" w:rsidRPr="00127C3B" w:rsidRDefault="0037799B" w:rsidP="0037799B">
      <w:pPr>
        <w:pStyle w:val="Default"/>
        <w:rPr>
          <w:bCs/>
          <w:color w:val="00A1CF" w:themeColor="text2"/>
          <w:sz w:val="40"/>
          <w:szCs w:val="40"/>
        </w:rPr>
      </w:pPr>
      <w:r w:rsidRPr="00B25A5D">
        <w:rPr>
          <w:bCs/>
          <w:color w:val="00A1CF" w:themeColor="text2"/>
          <w:sz w:val="40"/>
          <w:szCs w:val="40"/>
        </w:rPr>
        <w:t>Types of offences</w:t>
      </w:r>
    </w:p>
    <w:tbl>
      <w:tblPr>
        <w:tblStyle w:val="TableGrid"/>
        <w:tblW w:w="0" w:type="auto"/>
        <w:tblLook w:val="04A0" w:firstRow="1" w:lastRow="0" w:firstColumn="1" w:lastColumn="0" w:noHBand="0" w:noVBand="1"/>
      </w:tblPr>
      <w:tblGrid>
        <w:gridCol w:w="4508"/>
        <w:gridCol w:w="4508"/>
      </w:tblGrid>
      <w:tr w:rsidR="0037799B" w:rsidRPr="0037799B" w:rsidTr="00B25A5D">
        <w:tc>
          <w:tcPr>
            <w:tcW w:w="4508" w:type="dxa"/>
            <w:shd w:val="clear" w:color="auto" w:fill="EFEFEF" w:themeFill="accent2" w:themeFillTint="33"/>
          </w:tcPr>
          <w:p w:rsidR="0037799B" w:rsidRPr="00B25A5D" w:rsidRDefault="0037799B" w:rsidP="00C76F89">
            <w:pPr>
              <w:pStyle w:val="Default"/>
              <w:jc w:val="center"/>
              <w:rPr>
                <w:rFonts w:ascii="Arial" w:hAnsi="Arial" w:cs="Arial"/>
                <w:sz w:val="22"/>
                <w:szCs w:val="22"/>
              </w:rPr>
            </w:pPr>
            <w:r w:rsidRPr="00B25A5D">
              <w:rPr>
                <w:rFonts w:ascii="Arial" w:hAnsi="Arial" w:cs="Arial"/>
                <w:sz w:val="22"/>
                <w:szCs w:val="22"/>
              </w:rPr>
              <w:t>Eligible for filtering</w:t>
            </w:r>
          </w:p>
        </w:tc>
        <w:tc>
          <w:tcPr>
            <w:tcW w:w="4508" w:type="dxa"/>
            <w:shd w:val="clear" w:color="auto" w:fill="EFEFEF" w:themeFill="accent2" w:themeFillTint="33"/>
          </w:tcPr>
          <w:p w:rsidR="0037799B" w:rsidRPr="00B25A5D" w:rsidRDefault="0037799B" w:rsidP="00C76F89">
            <w:pPr>
              <w:pStyle w:val="Default"/>
              <w:jc w:val="center"/>
              <w:rPr>
                <w:rFonts w:ascii="Arial" w:hAnsi="Arial" w:cs="Arial"/>
                <w:sz w:val="22"/>
                <w:szCs w:val="22"/>
              </w:rPr>
            </w:pPr>
            <w:r w:rsidRPr="00B25A5D">
              <w:rPr>
                <w:rFonts w:ascii="Arial" w:hAnsi="Arial" w:cs="Arial"/>
                <w:sz w:val="22"/>
                <w:szCs w:val="22"/>
              </w:rPr>
              <w:t>Not eligible for filtering</w:t>
            </w:r>
          </w:p>
        </w:tc>
      </w:tr>
      <w:tr w:rsidR="0037799B" w:rsidRPr="0037799B" w:rsidTr="00C76F89">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Common assault</w:t>
            </w:r>
          </w:p>
        </w:tc>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Offences involving violence</w:t>
            </w:r>
          </w:p>
        </w:tc>
      </w:tr>
      <w:tr w:rsidR="0037799B" w:rsidRPr="0037799B" w:rsidTr="00C76F89">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Drunk &amp; disorderly</w:t>
            </w:r>
          </w:p>
        </w:tc>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Safeguarding offences</w:t>
            </w:r>
          </w:p>
        </w:tc>
      </w:tr>
      <w:tr w:rsidR="0037799B" w:rsidRPr="0037799B" w:rsidTr="00C76F89">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Many motoring offences</w:t>
            </w:r>
          </w:p>
        </w:tc>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Sexual offences</w:t>
            </w:r>
          </w:p>
        </w:tc>
      </w:tr>
      <w:tr w:rsidR="0037799B" w:rsidRPr="0037799B" w:rsidTr="00C76F89">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Drugs offences only involving possession</w:t>
            </w:r>
          </w:p>
        </w:tc>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Drugs offences involving supply</w:t>
            </w:r>
          </w:p>
        </w:tc>
      </w:tr>
      <w:tr w:rsidR="0037799B" w:rsidRPr="0037799B" w:rsidTr="00C76F89">
        <w:tc>
          <w:tcPr>
            <w:tcW w:w="4508" w:type="dxa"/>
          </w:tcPr>
          <w:p w:rsidR="0037799B" w:rsidRPr="0037799B" w:rsidRDefault="0037799B" w:rsidP="00C76F89">
            <w:pPr>
              <w:pStyle w:val="Default"/>
              <w:rPr>
                <w:rFonts w:ascii="Arial" w:hAnsi="Arial" w:cs="Arial"/>
                <w:sz w:val="22"/>
                <w:szCs w:val="22"/>
              </w:rPr>
            </w:pPr>
            <w:r w:rsidRPr="0037799B">
              <w:rPr>
                <w:rFonts w:ascii="Arial" w:hAnsi="Arial" w:cs="Arial"/>
                <w:sz w:val="22"/>
                <w:szCs w:val="22"/>
              </w:rPr>
              <w:t>Theft (where no violence is involved)</w:t>
            </w:r>
          </w:p>
        </w:tc>
        <w:tc>
          <w:tcPr>
            <w:tcW w:w="4508" w:type="dxa"/>
          </w:tcPr>
          <w:p w:rsidR="0037799B" w:rsidRPr="0037799B" w:rsidRDefault="0037799B" w:rsidP="00C76F89">
            <w:pPr>
              <w:pStyle w:val="Default"/>
              <w:rPr>
                <w:rFonts w:ascii="Arial" w:hAnsi="Arial" w:cs="Arial"/>
                <w:sz w:val="22"/>
                <w:szCs w:val="22"/>
              </w:rPr>
            </w:pPr>
          </w:p>
        </w:tc>
      </w:tr>
    </w:tbl>
    <w:p w:rsidR="0037799B" w:rsidRPr="00B25A5D" w:rsidRDefault="0037799B" w:rsidP="0037799B">
      <w:pPr>
        <w:pStyle w:val="Default"/>
        <w:rPr>
          <w:bCs/>
          <w:color w:val="00A1CF" w:themeColor="text2"/>
          <w:sz w:val="40"/>
          <w:szCs w:val="40"/>
        </w:rPr>
      </w:pPr>
    </w:p>
    <w:p w:rsidR="0037799B" w:rsidRPr="00B25A5D" w:rsidRDefault="0037799B" w:rsidP="0037799B">
      <w:pPr>
        <w:pStyle w:val="Default"/>
        <w:rPr>
          <w:bCs/>
          <w:color w:val="00A1CF" w:themeColor="text2"/>
          <w:sz w:val="40"/>
          <w:szCs w:val="40"/>
        </w:rPr>
      </w:pPr>
      <w:r w:rsidRPr="00B25A5D">
        <w:rPr>
          <w:bCs/>
          <w:color w:val="00A1CF" w:themeColor="text2"/>
          <w:sz w:val="40"/>
          <w:szCs w:val="40"/>
        </w:rPr>
        <w:t>Filtering periods</w:t>
      </w:r>
    </w:p>
    <w:p w:rsidR="0037799B" w:rsidRPr="0037799B" w:rsidRDefault="0037799B" w:rsidP="0037799B">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94"/>
        <w:gridCol w:w="1294"/>
        <w:gridCol w:w="1294"/>
      </w:tblGrid>
      <w:tr w:rsidR="0037799B" w:rsidRPr="0037799B" w:rsidTr="00C76F89">
        <w:trPr>
          <w:trHeight w:val="100"/>
        </w:trPr>
        <w:tc>
          <w:tcPr>
            <w:tcW w:w="1294" w:type="dxa"/>
          </w:tcPr>
          <w:p w:rsidR="0037799B" w:rsidRPr="0037799B" w:rsidRDefault="0037799B" w:rsidP="00C76F89">
            <w:pPr>
              <w:autoSpaceDE w:val="0"/>
              <w:autoSpaceDN w:val="0"/>
              <w:adjustRightInd w:val="0"/>
            </w:pPr>
            <w:r w:rsidRPr="00B25A5D">
              <w:rPr>
                <w:color w:val="6D6D6D"/>
              </w:rPr>
              <w:t xml:space="preserve"> Age</w:t>
            </w:r>
            <w:r w:rsidRPr="0037799B">
              <w:rPr>
                <w:b/>
                <w:bCs/>
              </w:rPr>
              <w:t xml:space="preserve"> </w:t>
            </w:r>
          </w:p>
        </w:tc>
        <w:tc>
          <w:tcPr>
            <w:tcW w:w="1294" w:type="dxa"/>
          </w:tcPr>
          <w:p w:rsidR="0037799B" w:rsidRPr="0037799B" w:rsidRDefault="0037799B" w:rsidP="00C76F89">
            <w:pPr>
              <w:autoSpaceDE w:val="0"/>
              <w:autoSpaceDN w:val="0"/>
              <w:adjustRightInd w:val="0"/>
            </w:pPr>
            <w:r w:rsidRPr="00B25A5D">
              <w:rPr>
                <w:color w:val="6D6D6D"/>
              </w:rPr>
              <w:t>Caution</w:t>
            </w:r>
            <w:r w:rsidRPr="0037799B">
              <w:rPr>
                <w:b/>
                <w:bCs/>
              </w:rPr>
              <w:t xml:space="preserve"> </w:t>
            </w:r>
          </w:p>
        </w:tc>
        <w:tc>
          <w:tcPr>
            <w:tcW w:w="1294" w:type="dxa"/>
          </w:tcPr>
          <w:p w:rsidR="0037799B" w:rsidRPr="0037799B" w:rsidRDefault="0037799B" w:rsidP="00C76F89">
            <w:pPr>
              <w:autoSpaceDE w:val="0"/>
              <w:autoSpaceDN w:val="0"/>
              <w:adjustRightInd w:val="0"/>
            </w:pPr>
            <w:r w:rsidRPr="00B25A5D">
              <w:rPr>
                <w:color w:val="6D6D6D"/>
              </w:rPr>
              <w:t xml:space="preserve">Conviction </w:t>
            </w:r>
          </w:p>
        </w:tc>
      </w:tr>
      <w:tr w:rsidR="0037799B" w:rsidRPr="0037799B" w:rsidTr="00C76F89">
        <w:trPr>
          <w:trHeight w:val="100"/>
        </w:trPr>
        <w:tc>
          <w:tcPr>
            <w:tcW w:w="1294" w:type="dxa"/>
          </w:tcPr>
          <w:p w:rsidR="0037799B" w:rsidRPr="0037799B" w:rsidRDefault="0037799B" w:rsidP="00C76F89">
            <w:pPr>
              <w:autoSpaceDE w:val="0"/>
              <w:autoSpaceDN w:val="0"/>
              <w:adjustRightInd w:val="0"/>
            </w:pPr>
            <w:r w:rsidRPr="0037799B">
              <w:t xml:space="preserve">Under 18 </w:t>
            </w:r>
          </w:p>
        </w:tc>
        <w:tc>
          <w:tcPr>
            <w:tcW w:w="1294" w:type="dxa"/>
          </w:tcPr>
          <w:p w:rsidR="0037799B" w:rsidRPr="0037799B" w:rsidRDefault="0037799B" w:rsidP="00C76F89">
            <w:pPr>
              <w:autoSpaceDE w:val="0"/>
              <w:autoSpaceDN w:val="0"/>
              <w:adjustRightInd w:val="0"/>
            </w:pPr>
            <w:r w:rsidRPr="0037799B">
              <w:t xml:space="preserve">2 years </w:t>
            </w:r>
          </w:p>
        </w:tc>
        <w:tc>
          <w:tcPr>
            <w:tcW w:w="1294" w:type="dxa"/>
          </w:tcPr>
          <w:p w:rsidR="0037799B" w:rsidRPr="0037799B" w:rsidRDefault="0037799B" w:rsidP="00C76F89">
            <w:pPr>
              <w:autoSpaceDE w:val="0"/>
              <w:autoSpaceDN w:val="0"/>
              <w:adjustRightInd w:val="0"/>
            </w:pPr>
            <w:r w:rsidRPr="0037799B">
              <w:t xml:space="preserve">5.5 years </w:t>
            </w:r>
          </w:p>
        </w:tc>
      </w:tr>
      <w:tr w:rsidR="0037799B" w:rsidRPr="0037799B" w:rsidTr="00C76F89">
        <w:trPr>
          <w:trHeight w:val="100"/>
        </w:trPr>
        <w:tc>
          <w:tcPr>
            <w:tcW w:w="1294" w:type="dxa"/>
          </w:tcPr>
          <w:p w:rsidR="0037799B" w:rsidRPr="0037799B" w:rsidRDefault="0037799B" w:rsidP="00C76F89">
            <w:pPr>
              <w:autoSpaceDE w:val="0"/>
              <w:autoSpaceDN w:val="0"/>
              <w:adjustRightInd w:val="0"/>
            </w:pPr>
            <w:r w:rsidRPr="0037799B">
              <w:t xml:space="preserve">Over 18 </w:t>
            </w:r>
          </w:p>
        </w:tc>
        <w:tc>
          <w:tcPr>
            <w:tcW w:w="1294" w:type="dxa"/>
          </w:tcPr>
          <w:p w:rsidR="0037799B" w:rsidRPr="0037799B" w:rsidRDefault="0037799B" w:rsidP="00C76F89">
            <w:pPr>
              <w:autoSpaceDE w:val="0"/>
              <w:autoSpaceDN w:val="0"/>
              <w:adjustRightInd w:val="0"/>
            </w:pPr>
            <w:r w:rsidRPr="0037799B">
              <w:t xml:space="preserve">6 years </w:t>
            </w:r>
          </w:p>
        </w:tc>
        <w:tc>
          <w:tcPr>
            <w:tcW w:w="1294" w:type="dxa"/>
          </w:tcPr>
          <w:p w:rsidR="0037799B" w:rsidRPr="0037799B" w:rsidRDefault="0037799B" w:rsidP="00C76F89">
            <w:pPr>
              <w:autoSpaceDE w:val="0"/>
              <w:autoSpaceDN w:val="0"/>
              <w:adjustRightInd w:val="0"/>
            </w:pPr>
            <w:r w:rsidRPr="0037799B">
              <w:t xml:space="preserve">11 years </w:t>
            </w:r>
          </w:p>
        </w:tc>
      </w:tr>
    </w:tbl>
    <w:p w:rsidR="0037799B" w:rsidRPr="0037799B" w:rsidRDefault="0037799B" w:rsidP="0037799B">
      <w:pPr>
        <w:pStyle w:val="Default"/>
        <w:rPr>
          <w:sz w:val="22"/>
          <w:szCs w:val="22"/>
        </w:rPr>
      </w:pPr>
    </w:p>
    <w:p w:rsidR="0037799B" w:rsidRPr="0037799B" w:rsidRDefault="0037799B" w:rsidP="0037799B">
      <w:pPr>
        <w:widowControl w:val="0"/>
        <w:autoSpaceDE w:val="0"/>
        <w:autoSpaceDN w:val="0"/>
        <w:adjustRightInd w:val="0"/>
        <w:spacing w:line="200" w:lineRule="exact"/>
        <w:rPr>
          <w:b/>
        </w:rPr>
      </w:pPr>
    </w:p>
    <w:p w:rsidR="0044785B" w:rsidRPr="00127C3B" w:rsidRDefault="0037799B" w:rsidP="0044785B">
      <w:pPr>
        <w:rPr>
          <w:rFonts w:eastAsia="Times New Roman"/>
        </w:rPr>
      </w:pPr>
      <w:r w:rsidRPr="00B25A5D">
        <w:rPr>
          <w:color w:val="6D6D6D"/>
        </w:rPr>
        <w:t xml:space="preserve">For more information see </w:t>
      </w:r>
      <w:hyperlink r:id="rId7" w:history="1">
        <w:r w:rsidRPr="00127C3B">
          <w:rPr>
            <w:rStyle w:val="Hyperlink"/>
            <w:rFonts w:eastAsiaTheme="minorHAnsi" w:cs="Arial"/>
            <w:bCs/>
            <w:color w:val="00A1CF" w:themeColor="hyperlink"/>
            <w:u w:val="none"/>
            <w:lang w:val="en-GB" w:eastAsia="en-US"/>
          </w:rPr>
          <w:t>http://hub.unlock.org.uk/wp-content/uploads/What-will-be-filtered-by-the-DBS.pdf</w:t>
        </w:r>
      </w:hyperlink>
    </w:p>
    <w:sectPr w:rsidR="0044785B" w:rsidRPr="00127C3B">
      <w:headerReference w:type="default" r:id="rId8"/>
      <w:footerReference w:type="default" r:id="rId9"/>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53" w:rsidRDefault="0044785B">
      <w:pPr>
        <w:spacing w:line="240" w:lineRule="auto"/>
      </w:pPr>
      <w:r>
        <w:separator/>
      </w:r>
    </w:p>
  </w:endnote>
  <w:endnote w:type="continuationSeparator" w:id="0">
    <w:p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32" w:rsidRPr="006C05A0" w:rsidRDefault="00992432" w:rsidP="00992432">
    <w:pPr>
      <w:pStyle w:val="Header"/>
      <w:jc w:val="right"/>
      <w:rPr>
        <w:sz w:val="18"/>
        <w:szCs w:val="16"/>
      </w:rPr>
    </w:pPr>
    <w:r>
      <w:rPr>
        <w:sz w:val="18"/>
        <w:szCs w:val="16"/>
      </w:rPr>
      <w:t xml:space="preserve">    </w:t>
    </w:r>
  </w:p>
  <w:p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53" w:rsidRDefault="0044785B">
      <w:pPr>
        <w:spacing w:line="240" w:lineRule="auto"/>
      </w:pPr>
      <w:r>
        <w:separator/>
      </w:r>
    </w:p>
  </w:footnote>
  <w:footnote w:type="continuationSeparator" w:id="0">
    <w:p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C" w:rsidRDefault="0044785B">
    <w:r>
      <w:rPr>
        <w:noProof/>
        <w:lang w:val="en-GB"/>
      </w:rPr>
      <w:drawing>
        <wp:anchor distT="114300" distB="114300" distL="114300" distR="114300" simplePos="0" relativeHeight="251658240" behindDoc="0" locked="0" layoutInCell="1" hidden="0" allowOverlap="1">
          <wp:simplePos x="0" y="0"/>
          <wp:positionH relativeFrom="margin">
            <wp:posOffset>-828674</wp:posOffset>
          </wp:positionH>
          <wp:positionV relativeFrom="paragraph">
            <wp:posOffset>-66674</wp:posOffset>
          </wp:positionV>
          <wp:extent cx="7835642" cy="1252538"/>
          <wp:effectExtent l="0" t="0" r="0" b="0"/>
          <wp:wrapTopAndBottom distT="114300" distB="114300"/>
          <wp:docPr id="1"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127C3B"/>
    <w:rsid w:val="001C4179"/>
    <w:rsid w:val="0037799B"/>
    <w:rsid w:val="003B3553"/>
    <w:rsid w:val="0044785B"/>
    <w:rsid w:val="00992432"/>
    <w:rsid w:val="00B25A5D"/>
    <w:rsid w:val="00C5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6C3C2D993E946962974FCCB4E63E7" ma:contentTypeVersion="6" ma:contentTypeDescription="Create a new document." ma:contentTypeScope="" ma:versionID="e567ecf500048f90a47a0ce5111e21c2">
  <xsd:schema xmlns:xsd="http://www.w3.org/2001/XMLSchema" xmlns:xs="http://www.w3.org/2001/XMLSchema" xmlns:p="http://schemas.microsoft.com/office/2006/metadata/properties" xmlns:ns2="6d029459-3d0e-4995-a21e-ed2af40db7d5" xmlns:ns3="1fca459b-f4c4-4073-ad5e-88dca306fc8c" targetNamespace="http://schemas.microsoft.com/office/2006/metadata/properties" ma:root="true" ma:fieldsID="34a61beaef8bb2e57c11cab62a4a646f" ns2:_="" ns3:_="">
    <xsd:import namespace="6d029459-3d0e-4995-a21e-ed2af40db7d5"/>
    <xsd:import namespace="1fca459b-f4c4-4073-ad5e-88dca306f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29459-3d0e-4995-a21e-ed2af40db7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ca459b-f4c4-4073-ad5e-88dca306f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3B597-C433-443F-B745-79407E12B509}"/>
</file>

<file path=customXml/itemProps2.xml><?xml version="1.0" encoding="utf-8"?>
<ds:datastoreItem xmlns:ds="http://schemas.openxmlformats.org/officeDocument/2006/customXml" ds:itemID="{5726DF99-14BA-452B-8579-E1F6DC4C4D09}"/>
</file>

<file path=customXml/itemProps3.xml><?xml version="1.0" encoding="utf-8"?>
<ds:datastoreItem xmlns:ds="http://schemas.openxmlformats.org/officeDocument/2006/customXml" ds:itemID="{05E098A4-8285-4964-9C1C-A3142B3F9F73}"/>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Jennica Rama (The Co-operative Academies Trust)</cp:lastModifiedBy>
  <cp:revision>3</cp:revision>
  <dcterms:created xsi:type="dcterms:W3CDTF">2017-08-24T14:09:00Z</dcterms:created>
  <dcterms:modified xsi:type="dcterms:W3CDTF">2017-08-31T10:21:00Z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0x010100B7E6C3C2D993E946962974FCCB4E63E7</vt:lpwstr>
  </property>
</Properties>
</file>