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CF" w:rsidRDefault="000834C0">
      <w:pPr>
        <w:rPr>
          <w:rFonts w:ascii="Arial" w:hAnsi="Arial" w:cs="Arial"/>
          <w:sz w:val="22"/>
          <w:szCs w:val="22"/>
        </w:rPr>
      </w:pPr>
    </w:p>
    <w:p w:rsidR="000826EC" w:rsidRDefault="00493D0E" w:rsidP="000826EC">
      <w:pPr>
        <w:pStyle w:val="NoSpacing"/>
        <w:rPr>
          <w:rFonts w:ascii="Acumin Pro" w:hAnsi="Acumin Pro"/>
          <w:sz w:val="22"/>
          <w:szCs w:val="22"/>
        </w:rPr>
      </w:pPr>
      <w:r>
        <w:rPr>
          <w:rFonts w:ascii="Acumin Pro" w:hAnsi="Acumin Pro"/>
          <w:sz w:val="22"/>
          <w:szCs w:val="22"/>
        </w:rPr>
        <w:t>February</w:t>
      </w:r>
      <w:r w:rsidR="006E4787">
        <w:rPr>
          <w:rFonts w:ascii="Acumin Pro" w:hAnsi="Acumin Pro"/>
          <w:sz w:val="22"/>
          <w:szCs w:val="22"/>
        </w:rPr>
        <w:t xml:space="preserve"> 2020</w:t>
      </w:r>
    </w:p>
    <w:p w:rsidR="00631B76" w:rsidRPr="000826EC" w:rsidRDefault="00631B76" w:rsidP="000826EC">
      <w:pPr>
        <w:pStyle w:val="NoSpacing"/>
        <w:rPr>
          <w:rFonts w:ascii="Acumin Pro" w:hAnsi="Acumin Pro"/>
          <w:sz w:val="22"/>
          <w:szCs w:val="22"/>
        </w:rPr>
      </w:pPr>
    </w:p>
    <w:p w:rsidR="00493D0E" w:rsidRDefault="00493D0E" w:rsidP="006E4787">
      <w:pPr>
        <w:jc w:val="center"/>
        <w:rPr>
          <w:rFonts w:ascii="Poppins" w:hAnsi="Poppins" w:cs="Poppins"/>
          <w:b/>
          <w:sz w:val="28"/>
        </w:rPr>
      </w:pPr>
    </w:p>
    <w:p w:rsidR="00493D0E" w:rsidRDefault="00493D0E" w:rsidP="006E4787">
      <w:pPr>
        <w:jc w:val="center"/>
        <w:rPr>
          <w:rFonts w:ascii="Poppins" w:hAnsi="Poppins" w:cs="Poppins"/>
          <w:b/>
          <w:sz w:val="28"/>
        </w:rPr>
      </w:pPr>
    </w:p>
    <w:p w:rsidR="005C55F8" w:rsidRDefault="005C55F8" w:rsidP="006E4787">
      <w:pPr>
        <w:jc w:val="center"/>
        <w:rPr>
          <w:rFonts w:ascii="Poppins" w:hAnsi="Poppins" w:cs="Poppins"/>
          <w:b/>
          <w:sz w:val="28"/>
        </w:rPr>
      </w:pPr>
    </w:p>
    <w:p w:rsidR="005C55F8" w:rsidRDefault="005C55F8" w:rsidP="006E4787">
      <w:pPr>
        <w:jc w:val="center"/>
        <w:rPr>
          <w:rFonts w:ascii="Poppins" w:hAnsi="Poppins" w:cs="Poppins"/>
          <w:b/>
          <w:sz w:val="28"/>
        </w:rPr>
      </w:pPr>
    </w:p>
    <w:p w:rsidR="00E01351" w:rsidRDefault="00E01351" w:rsidP="006E4787">
      <w:pPr>
        <w:jc w:val="center"/>
        <w:rPr>
          <w:rFonts w:ascii="Poppins" w:hAnsi="Poppins" w:cs="Poppins"/>
          <w:b/>
          <w:sz w:val="28"/>
        </w:rPr>
      </w:pPr>
    </w:p>
    <w:p w:rsidR="005C55F8" w:rsidRDefault="005C55F8" w:rsidP="006E4787">
      <w:pPr>
        <w:jc w:val="center"/>
        <w:rPr>
          <w:rFonts w:ascii="Poppins" w:hAnsi="Poppins" w:cs="Poppins"/>
          <w:b/>
          <w:sz w:val="28"/>
        </w:rPr>
      </w:pPr>
    </w:p>
    <w:p w:rsidR="006E4787" w:rsidRDefault="005C55F8" w:rsidP="006E4787">
      <w:pPr>
        <w:jc w:val="center"/>
        <w:rPr>
          <w:rFonts w:ascii="Poppins" w:hAnsi="Poppins" w:cs="Poppins"/>
          <w:b/>
          <w:sz w:val="28"/>
        </w:rPr>
      </w:pPr>
      <w:r>
        <w:rPr>
          <w:rFonts w:ascii="Poppins" w:hAnsi="Poppins" w:cs="Poppins"/>
          <w:b/>
          <w:sz w:val="28"/>
        </w:rPr>
        <w:t xml:space="preserve">Recruitment and retention package </w:t>
      </w:r>
    </w:p>
    <w:p w:rsidR="005C55F8" w:rsidRPr="00493D0E" w:rsidRDefault="005C55F8" w:rsidP="006E4787">
      <w:pPr>
        <w:jc w:val="center"/>
        <w:rPr>
          <w:rFonts w:ascii="Poppins" w:hAnsi="Poppins" w:cs="Poppins"/>
          <w:b/>
        </w:rPr>
      </w:pPr>
    </w:p>
    <w:p w:rsidR="005C55F8" w:rsidRDefault="005C55F8" w:rsidP="006E4787">
      <w:pPr>
        <w:pStyle w:val="NoSpacing"/>
        <w:rPr>
          <w:rFonts w:ascii="Acumin Pro" w:hAnsi="Acumin Pro"/>
          <w:sz w:val="22"/>
          <w:szCs w:val="22"/>
        </w:rPr>
      </w:pPr>
      <w:r>
        <w:rPr>
          <w:rFonts w:ascii="Acumin Pro" w:hAnsi="Acumin Pro"/>
          <w:sz w:val="22"/>
          <w:szCs w:val="22"/>
        </w:rPr>
        <w:t>Choosing the right</w:t>
      </w:r>
      <w:r w:rsidR="00CE563E">
        <w:rPr>
          <w:rFonts w:ascii="Acumin Pro" w:hAnsi="Acumin Pro"/>
          <w:sz w:val="22"/>
          <w:szCs w:val="22"/>
        </w:rPr>
        <w:t xml:space="preserve"> first school, or to move school can be daunting</w:t>
      </w:r>
      <w:r>
        <w:rPr>
          <w:rFonts w:ascii="Acumin Pro" w:hAnsi="Acumin Pro"/>
          <w:sz w:val="22"/>
          <w:szCs w:val="22"/>
        </w:rPr>
        <w:t xml:space="preserve">: at </w:t>
      </w:r>
      <w:proofErr w:type="spellStart"/>
      <w:r>
        <w:rPr>
          <w:rFonts w:ascii="Acumin Pro" w:hAnsi="Acumin Pro"/>
          <w:sz w:val="22"/>
          <w:szCs w:val="22"/>
        </w:rPr>
        <w:t>Morecambe</w:t>
      </w:r>
      <w:proofErr w:type="spellEnd"/>
      <w:r>
        <w:rPr>
          <w:rFonts w:ascii="Acumin Pro" w:hAnsi="Acumin Pro"/>
          <w:sz w:val="22"/>
          <w:szCs w:val="22"/>
        </w:rPr>
        <w:t xml:space="preserve"> Bay Academy, we seek to recruit the best new teachers for our students. </w:t>
      </w:r>
      <w:r w:rsidR="00E01351">
        <w:rPr>
          <w:rFonts w:ascii="Acumin Pro" w:hAnsi="Acumin Pro"/>
          <w:sz w:val="22"/>
          <w:szCs w:val="22"/>
        </w:rPr>
        <w:t xml:space="preserve">We are also seeking to facilitate strong candidates to move into the area.  </w:t>
      </w:r>
      <w:r>
        <w:rPr>
          <w:rFonts w:ascii="Acumin Pro" w:hAnsi="Acumin Pro"/>
          <w:sz w:val="22"/>
          <w:szCs w:val="22"/>
        </w:rPr>
        <w:t xml:space="preserve">For this reason, we offer the following </w:t>
      </w:r>
      <w:r w:rsidR="00CE563E">
        <w:rPr>
          <w:rFonts w:ascii="Acumin Pro" w:hAnsi="Acumin Pro"/>
          <w:sz w:val="22"/>
          <w:szCs w:val="22"/>
        </w:rPr>
        <w:t xml:space="preserve">enhanced package for the strongest </w:t>
      </w:r>
      <w:r>
        <w:rPr>
          <w:rFonts w:ascii="Acumin Pro" w:hAnsi="Acumin Pro"/>
          <w:sz w:val="22"/>
          <w:szCs w:val="22"/>
        </w:rPr>
        <w:t xml:space="preserve">applicants. </w:t>
      </w:r>
    </w:p>
    <w:p w:rsidR="005C55F8" w:rsidRDefault="005C55F8" w:rsidP="006E4787">
      <w:pPr>
        <w:pStyle w:val="NoSpacing"/>
        <w:rPr>
          <w:rFonts w:ascii="Acumin Pro" w:hAnsi="Acumin Pro"/>
          <w:sz w:val="22"/>
          <w:szCs w:val="22"/>
        </w:rPr>
      </w:pPr>
    </w:p>
    <w:p w:rsidR="00CE563E" w:rsidRDefault="00CE563E" w:rsidP="006E4787">
      <w:pPr>
        <w:pStyle w:val="NoSpacing"/>
        <w:rPr>
          <w:rFonts w:ascii="Acumin Pro" w:hAnsi="Acumin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886"/>
      </w:tblGrid>
      <w:tr w:rsidR="005C55F8" w:rsidTr="00E01351">
        <w:tc>
          <w:tcPr>
            <w:tcW w:w="5070" w:type="dxa"/>
          </w:tcPr>
          <w:p w:rsidR="005C55F8" w:rsidRDefault="005C55F8" w:rsidP="006E4787">
            <w:pPr>
              <w:pStyle w:val="NoSpacing"/>
              <w:rPr>
                <w:rFonts w:ascii="Acumin Pro" w:hAnsi="Acumin Pro"/>
                <w:b/>
                <w:sz w:val="22"/>
                <w:szCs w:val="22"/>
              </w:rPr>
            </w:pPr>
            <w:r w:rsidRPr="005C55F8">
              <w:rPr>
                <w:rFonts w:ascii="Acumin Pro" w:hAnsi="Acumin Pro"/>
                <w:b/>
                <w:sz w:val="22"/>
                <w:szCs w:val="22"/>
              </w:rPr>
              <w:t xml:space="preserve">Recruitment and retention incentive </w:t>
            </w:r>
          </w:p>
          <w:p w:rsidR="00CE563E" w:rsidRPr="005C55F8" w:rsidRDefault="00CE563E" w:rsidP="006E4787">
            <w:pPr>
              <w:pStyle w:val="NoSpacing"/>
              <w:rPr>
                <w:rFonts w:ascii="Acumin Pro" w:hAnsi="Acumin Pro"/>
                <w:b/>
                <w:sz w:val="22"/>
                <w:szCs w:val="22"/>
              </w:rPr>
            </w:pPr>
          </w:p>
        </w:tc>
        <w:tc>
          <w:tcPr>
            <w:tcW w:w="4886" w:type="dxa"/>
          </w:tcPr>
          <w:p w:rsidR="005C55F8" w:rsidRPr="005C55F8" w:rsidRDefault="005C55F8" w:rsidP="006E4787">
            <w:pPr>
              <w:pStyle w:val="NoSpacing"/>
              <w:rPr>
                <w:rFonts w:ascii="Acumin Pro" w:hAnsi="Acumin Pro"/>
                <w:b/>
                <w:sz w:val="22"/>
                <w:szCs w:val="22"/>
              </w:rPr>
            </w:pPr>
            <w:r w:rsidRPr="005C55F8">
              <w:rPr>
                <w:rFonts w:ascii="Acumin Pro" w:hAnsi="Acumin Pro"/>
                <w:b/>
                <w:sz w:val="22"/>
                <w:szCs w:val="22"/>
              </w:rPr>
              <w:t xml:space="preserve">Criteria </w:t>
            </w:r>
          </w:p>
        </w:tc>
      </w:tr>
      <w:tr w:rsidR="005C55F8" w:rsidTr="00E01351">
        <w:tc>
          <w:tcPr>
            <w:tcW w:w="5070" w:type="dxa"/>
          </w:tcPr>
          <w:p w:rsidR="005C55F8" w:rsidRDefault="005C55F8" w:rsidP="006E4787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  <w:r>
              <w:rPr>
                <w:rFonts w:ascii="Acumin Pro" w:hAnsi="Acumin Pro"/>
                <w:sz w:val="22"/>
                <w:szCs w:val="22"/>
              </w:rPr>
              <w:t xml:space="preserve">Mid July start date and induction  </w:t>
            </w:r>
          </w:p>
        </w:tc>
        <w:tc>
          <w:tcPr>
            <w:tcW w:w="4886" w:type="dxa"/>
          </w:tcPr>
          <w:p w:rsidR="005C55F8" w:rsidRDefault="005C55F8" w:rsidP="006E4787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  <w:r>
              <w:rPr>
                <w:rFonts w:ascii="Acumin Pro" w:hAnsi="Acumin Pro"/>
                <w:sz w:val="22"/>
                <w:szCs w:val="22"/>
              </w:rPr>
              <w:t>Must be completing ITT</w:t>
            </w:r>
            <w:r w:rsidR="000834C0">
              <w:rPr>
                <w:rFonts w:ascii="Acumin Pro" w:hAnsi="Acumin Pro"/>
                <w:sz w:val="22"/>
                <w:szCs w:val="22"/>
              </w:rPr>
              <w:t>.</w:t>
            </w:r>
            <w:bookmarkStart w:id="0" w:name="_GoBack"/>
            <w:bookmarkEnd w:id="0"/>
            <w:r>
              <w:rPr>
                <w:rFonts w:ascii="Acumin Pro" w:hAnsi="Acumin Pro"/>
                <w:sz w:val="22"/>
                <w:szCs w:val="22"/>
              </w:rPr>
              <w:t xml:space="preserve"> </w:t>
            </w:r>
          </w:p>
          <w:p w:rsidR="00DB0363" w:rsidRDefault="00DB0363" w:rsidP="006E4787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</w:p>
        </w:tc>
      </w:tr>
      <w:tr w:rsidR="005C55F8" w:rsidTr="00E01351">
        <w:tc>
          <w:tcPr>
            <w:tcW w:w="5070" w:type="dxa"/>
          </w:tcPr>
          <w:p w:rsidR="005C55F8" w:rsidRDefault="005C55F8" w:rsidP="006E4787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  <w:proofErr w:type="spellStart"/>
            <w:r>
              <w:rPr>
                <w:rFonts w:ascii="Acumin Pro" w:hAnsi="Acumin Pro"/>
                <w:sz w:val="22"/>
                <w:szCs w:val="22"/>
              </w:rPr>
              <w:t>Payscale</w:t>
            </w:r>
            <w:proofErr w:type="spellEnd"/>
            <w:r>
              <w:rPr>
                <w:rFonts w:ascii="Acumin Pro" w:hAnsi="Acumin Pro"/>
                <w:sz w:val="22"/>
                <w:szCs w:val="22"/>
              </w:rPr>
              <w:t xml:space="preserve"> starting at M2</w:t>
            </w:r>
            <w:r w:rsidR="00DB0363">
              <w:rPr>
                <w:rFonts w:ascii="Acumin Pro" w:hAnsi="Acumin Pro"/>
                <w:sz w:val="22"/>
                <w:szCs w:val="22"/>
              </w:rPr>
              <w:t xml:space="preserve"> for NQTs</w:t>
            </w:r>
          </w:p>
        </w:tc>
        <w:tc>
          <w:tcPr>
            <w:tcW w:w="4886" w:type="dxa"/>
          </w:tcPr>
          <w:p w:rsidR="008E6C1D" w:rsidRDefault="00E01351" w:rsidP="008E6C1D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  <w:r>
              <w:rPr>
                <w:rFonts w:ascii="Acumin Pro" w:hAnsi="Acumin Pro"/>
                <w:sz w:val="22"/>
                <w:szCs w:val="22"/>
              </w:rPr>
              <w:t>Must h</w:t>
            </w:r>
            <w:r w:rsidR="008E6C1D">
              <w:rPr>
                <w:rFonts w:ascii="Acumin Pro" w:hAnsi="Acumin Pro"/>
                <w:sz w:val="22"/>
                <w:szCs w:val="22"/>
              </w:rPr>
              <w:t>ave 2.1 or higher in English related degree and English</w:t>
            </w:r>
            <w:r>
              <w:rPr>
                <w:rFonts w:ascii="Acumin Pro" w:hAnsi="Acumin Pro"/>
                <w:sz w:val="22"/>
                <w:szCs w:val="22"/>
              </w:rPr>
              <w:t xml:space="preserve"> at A-Level</w:t>
            </w:r>
            <w:r w:rsidR="000834C0">
              <w:rPr>
                <w:rFonts w:ascii="Acumin Pro" w:hAnsi="Acumin Pro"/>
                <w:sz w:val="22"/>
                <w:szCs w:val="22"/>
              </w:rPr>
              <w:t>.</w:t>
            </w:r>
          </w:p>
          <w:p w:rsidR="005C55F8" w:rsidRDefault="00E01351" w:rsidP="008E6C1D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  <w:r>
              <w:rPr>
                <w:rFonts w:ascii="Acumin Pro" w:hAnsi="Acumin Pro"/>
                <w:sz w:val="22"/>
                <w:szCs w:val="22"/>
              </w:rPr>
              <w:t xml:space="preserve"> </w:t>
            </w:r>
          </w:p>
        </w:tc>
      </w:tr>
      <w:tr w:rsidR="005C55F8" w:rsidTr="00E01351">
        <w:tc>
          <w:tcPr>
            <w:tcW w:w="5070" w:type="dxa"/>
          </w:tcPr>
          <w:p w:rsidR="005C55F8" w:rsidRDefault="00E01351" w:rsidP="006E4787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  <w:r>
              <w:rPr>
                <w:rFonts w:ascii="Acumin Pro" w:hAnsi="Acumin Pro"/>
                <w:sz w:val="22"/>
                <w:szCs w:val="22"/>
              </w:rPr>
              <w:t>Retention payment of £1,000</w:t>
            </w:r>
          </w:p>
        </w:tc>
        <w:tc>
          <w:tcPr>
            <w:tcW w:w="4886" w:type="dxa"/>
          </w:tcPr>
          <w:p w:rsidR="008E6C1D" w:rsidRDefault="00E01351" w:rsidP="006E4787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  <w:r>
              <w:rPr>
                <w:rFonts w:ascii="Acumin Pro" w:hAnsi="Acumin Pro"/>
                <w:sz w:val="22"/>
                <w:szCs w:val="22"/>
              </w:rPr>
              <w:t>To be paid at the start of the second year in post. Must complete ITT at good or better, and complete NQT on track or above.</w:t>
            </w:r>
          </w:p>
          <w:p w:rsidR="005C55F8" w:rsidRDefault="00E01351" w:rsidP="006E4787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  <w:r>
              <w:rPr>
                <w:rFonts w:ascii="Acumin Pro" w:hAnsi="Acumin Pro"/>
                <w:sz w:val="22"/>
                <w:szCs w:val="22"/>
              </w:rPr>
              <w:t xml:space="preserve"> </w:t>
            </w:r>
          </w:p>
        </w:tc>
      </w:tr>
      <w:tr w:rsidR="005C55F8" w:rsidTr="00E01351">
        <w:tc>
          <w:tcPr>
            <w:tcW w:w="5070" w:type="dxa"/>
          </w:tcPr>
          <w:p w:rsidR="005C55F8" w:rsidRDefault="00E01351" w:rsidP="00E01351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  <w:r>
              <w:rPr>
                <w:rFonts w:ascii="Acumin Pro" w:hAnsi="Acumin Pro"/>
                <w:sz w:val="22"/>
                <w:szCs w:val="22"/>
              </w:rPr>
              <w:t>Relocation allowance of £1,000</w:t>
            </w:r>
            <w:r w:rsidR="00DB0363">
              <w:rPr>
                <w:rFonts w:ascii="Acumin Pro" w:hAnsi="Acumin Pro"/>
                <w:sz w:val="22"/>
                <w:szCs w:val="22"/>
              </w:rPr>
              <w:t xml:space="preserve"> – all posts </w:t>
            </w:r>
            <w:r>
              <w:rPr>
                <w:rFonts w:ascii="Acumin Pro" w:hAnsi="Acumin Pro"/>
                <w:sz w:val="22"/>
                <w:szCs w:val="22"/>
              </w:rPr>
              <w:t xml:space="preserve"> </w:t>
            </w:r>
          </w:p>
        </w:tc>
        <w:tc>
          <w:tcPr>
            <w:tcW w:w="4886" w:type="dxa"/>
          </w:tcPr>
          <w:p w:rsidR="005C55F8" w:rsidRDefault="00E01351" w:rsidP="006E4787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  <w:r>
              <w:rPr>
                <w:rFonts w:ascii="Acumin Pro" w:hAnsi="Acumin Pro"/>
                <w:sz w:val="22"/>
                <w:szCs w:val="22"/>
              </w:rPr>
              <w:t>Must live over 30 miles away and be moving into area.</w:t>
            </w:r>
          </w:p>
          <w:p w:rsidR="008E6C1D" w:rsidRDefault="008E6C1D" w:rsidP="006E4787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</w:p>
        </w:tc>
      </w:tr>
      <w:tr w:rsidR="005C55F8" w:rsidTr="00E01351">
        <w:tc>
          <w:tcPr>
            <w:tcW w:w="5070" w:type="dxa"/>
          </w:tcPr>
          <w:p w:rsidR="005C55F8" w:rsidRDefault="00E01351" w:rsidP="006E4787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  <w:r>
              <w:rPr>
                <w:rFonts w:ascii="Acumin Pro" w:hAnsi="Acumin Pro"/>
                <w:sz w:val="22"/>
                <w:szCs w:val="22"/>
              </w:rPr>
              <w:t>Preparation for teaching allowance for IT resources and clothing</w:t>
            </w:r>
          </w:p>
        </w:tc>
        <w:tc>
          <w:tcPr>
            <w:tcW w:w="4886" w:type="dxa"/>
          </w:tcPr>
          <w:p w:rsidR="005C55F8" w:rsidRDefault="00E01351" w:rsidP="006E4787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  <w:r>
              <w:rPr>
                <w:rFonts w:ascii="Acumin Pro" w:hAnsi="Acumin Pro"/>
                <w:sz w:val="22"/>
                <w:szCs w:val="22"/>
              </w:rPr>
              <w:t>Must be completing ITT and be on track to achieve good or better</w:t>
            </w:r>
            <w:r w:rsidR="008E6C1D">
              <w:rPr>
                <w:rFonts w:ascii="Acumin Pro" w:hAnsi="Acumin Pro"/>
                <w:sz w:val="22"/>
                <w:szCs w:val="22"/>
              </w:rPr>
              <w:t>.</w:t>
            </w:r>
          </w:p>
          <w:p w:rsidR="008E6C1D" w:rsidRDefault="008E6C1D" w:rsidP="006E4787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</w:p>
        </w:tc>
      </w:tr>
      <w:tr w:rsidR="005C55F8" w:rsidTr="00E01351">
        <w:tc>
          <w:tcPr>
            <w:tcW w:w="5070" w:type="dxa"/>
          </w:tcPr>
          <w:p w:rsidR="005C55F8" w:rsidRDefault="00E01351" w:rsidP="006E4787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  <w:r>
              <w:rPr>
                <w:rFonts w:ascii="Acumin Pro" w:hAnsi="Acumin Pro"/>
                <w:sz w:val="22"/>
                <w:szCs w:val="22"/>
              </w:rPr>
              <w:t xml:space="preserve">Accelerated progression </w:t>
            </w:r>
            <w:r w:rsidR="00DB0363">
              <w:rPr>
                <w:rFonts w:ascii="Acumin Pro" w:hAnsi="Acumin Pro"/>
                <w:sz w:val="22"/>
                <w:szCs w:val="22"/>
              </w:rPr>
              <w:t xml:space="preserve">– all posts </w:t>
            </w:r>
          </w:p>
          <w:p w:rsidR="00DB0363" w:rsidRDefault="00DB0363" w:rsidP="006E4787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</w:p>
        </w:tc>
        <w:tc>
          <w:tcPr>
            <w:tcW w:w="4886" w:type="dxa"/>
          </w:tcPr>
          <w:p w:rsidR="005C55F8" w:rsidRDefault="00E01351" w:rsidP="006E4787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  <w:r>
              <w:rPr>
                <w:rFonts w:ascii="Acumin Pro" w:hAnsi="Acumin Pro"/>
                <w:sz w:val="22"/>
                <w:szCs w:val="22"/>
              </w:rPr>
              <w:t xml:space="preserve">Must achieve good or better outcomes </w:t>
            </w:r>
          </w:p>
        </w:tc>
      </w:tr>
      <w:tr w:rsidR="005C55F8" w:rsidTr="00E01351">
        <w:tc>
          <w:tcPr>
            <w:tcW w:w="5070" w:type="dxa"/>
          </w:tcPr>
          <w:p w:rsidR="005C55F8" w:rsidRPr="00E01351" w:rsidRDefault="00E01351" w:rsidP="006E4787">
            <w:pPr>
              <w:pStyle w:val="NoSpacing"/>
              <w:rPr>
                <w:rFonts w:ascii="Acumin Pro" w:hAnsi="Acumin Pro"/>
                <w:b/>
                <w:sz w:val="22"/>
                <w:szCs w:val="22"/>
              </w:rPr>
            </w:pPr>
            <w:r w:rsidRPr="00E01351">
              <w:rPr>
                <w:rFonts w:ascii="Acumin Pro" w:hAnsi="Acumin Pro"/>
                <w:b/>
                <w:sz w:val="22"/>
                <w:szCs w:val="22"/>
              </w:rPr>
              <w:t xml:space="preserve">Standard NQT package </w:t>
            </w:r>
          </w:p>
          <w:p w:rsidR="00E01351" w:rsidRDefault="00E01351" w:rsidP="006E4787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  <w:r>
              <w:rPr>
                <w:rFonts w:ascii="Acumin Pro" w:hAnsi="Acumin Pro"/>
                <w:sz w:val="22"/>
                <w:szCs w:val="22"/>
              </w:rPr>
              <w:t xml:space="preserve">90% timetable </w:t>
            </w:r>
          </w:p>
          <w:p w:rsidR="00E01351" w:rsidRDefault="00E01351" w:rsidP="006E4787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  <w:r>
              <w:rPr>
                <w:rFonts w:ascii="Acumin Pro" w:hAnsi="Acumin Pro"/>
                <w:sz w:val="22"/>
                <w:szCs w:val="22"/>
              </w:rPr>
              <w:t xml:space="preserve">Subject Mentor </w:t>
            </w:r>
          </w:p>
          <w:p w:rsidR="00E01351" w:rsidRDefault="00E01351" w:rsidP="006E4787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  <w:r>
              <w:rPr>
                <w:rFonts w:ascii="Acumin Pro" w:hAnsi="Acumin Pro"/>
                <w:sz w:val="22"/>
                <w:szCs w:val="22"/>
              </w:rPr>
              <w:t xml:space="preserve">Subject Knowledge Enhancement training  </w:t>
            </w:r>
          </w:p>
          <w:p w:rsidR="00E01351" w:rsidRDefault="00E01351" w:rsidP="006E4787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  <w:r>
              <w:rPr>
                <w:rFonts w:ascii="Acumin Pro" w:hAnsi="Acumin Pro"/>
                <w:sz w:val="22"/>
                <w:szCs w:val="22"/>
              </w:rPr>
              <w:t xml:space="preserve">Induction </w:t>
            </w:r>
          </w:p>
          <w:p w:rsidR="00E01351" w:rsidRDefault="00E01351" w:rsidP="006E4787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  <w:r>
              <w:rPr>
                <w:rFonts w:ascii="Acumin Pro" w:hAnsi="Acumin Pro"/>
                <w:sz w:val="22"/>
                <w:szCs w:val="22"/>
              </w:rPr>
              <w:t>Up to £1,000 in bespoke training in first year</w:t>
            </w:r>
          </w:p>
          <w:p w:rsidR="00E01351" w:rsidRDefault="00E01351" w:rsidP="006E4787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</w:p>
        </w:tc>
        <w:tc>
          <w:tcPr>
            <w:tcW w:w="4886" w:type="dxa"/>
          </w:tcPr>
          <w:p w:rsidR="00CE563E" w:rsidRDefault="00CE563E" w:rsidP="006E4787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</w:p>
          <w:p w:rsidR="005C55F8" w:rsidRDefault="00E01351" w:rsidP="006E4787">
            <w:pPr>
              <w:pStyle w:val="NoSpacing"/>
              <w:rPr>
                <w:rFonts w:ascii="Acumin Pro" w:hAnsi="Acumin Pro"/>
                <w:sz w:val="22"/>
                <w:szCs w:val="22"/>
              </w:rPr>
            </w:pPr>
            <w:r>
              <w:rPr>
                <w:rFonts w:ascii="Acumin Pro" w:hAnsi="Acumin Pro"/>
                <w:sz w:val="22"/>
                <w:szCs w:val="22"/>
              </w:rPr>
              <w:t xml:space="preserve">All  applicable candidates </w:t>
            </w:r>
          </w:p>
        </w:tc>
      </w:tr>
    </w:tbl>
    <w:p w:rsidR="005C55F8" w:rsidRDefault="005C55F8" w:rsidP="006E4787">
      <w:pPr>
        <w:pStyle w:val="NoSpacing"/>
        <w:rPr>
          <w:rFonts w:ascii="Acumin Pro" w:hAnsi="Acumin Pro"/>
          <w:sz w:val="22"/>
          <w:szCs w:val="22"/>
        </w:rPr>
      </w:pPr>
    </w:p>
    <w:p w:rsidR="005C55F8" w:rsidRDefault="005C55F8" w:rsidP="006E4787">
      <w:pPr>
        <w:pStyle w:val="NoSpacing"/>
        <w:rPr>
          <w:rFonts w:ascii="Acumin Pro" w:hAnsi="Acumin Pro"/>
          <w:sz w:val="22"/>
          <w:szCs w:val="22"/>
        </w:rPr>
      </w:pPr>
    </w:p>
    <w:p w:rsidR="005C55F8" w:rsidRPr="006E4787" w:rsidRDefault="005C55F8" w:rsidP="006E4787">
      <w:pPr>
        <w:pStyle w:val="NoSpacing"/>
        <w:rPr>
          <w:rFonts w:ascii="Acumin Pro" w:hAnsi="Acumin Pro"/>
          <w:sz w:val="22"/>
          <w:szCs w:val="22"/>
        </w:rPr>
      </w:pPr>
    </w:p>
    <w:p w:rsidR="00631B76" w:rsidRPr="006E4787" w:rsidRDefault="00631B76" w:rsidP="006E4787">
      <w:pPr>
        <w:pStyle w:val="NoSpacing"/>
        <w:rPr>
          <w:rFonts w:ascii="Acumin Pro" w:hAnsi="Acumin Pro"/>
          <w:sz w:val="22"/>
          <w:szCs w:val="22"/>
        </w:rPr>
      </w:pPr>
    </w:p>
    <w:sectPr w:rsidR="00631B76" w:rsidRPr="006E4787" w:rsidSect="00A42522">
      <w:headerReference w:type="default" r:id="rId9"/>
      <w:pgSz w:w="11900" w:h="16840"/>
      <w:pgMar w:top="121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2E" w:rsidRDefault="002A2F2E" w:rsidP="00A42522">
      <w:r>
        <w:separator/>
      </w:r>
    </w:p>
  </w:endnote>
  <w:endnote w:type="continuationSeparator" w:id="0">
    <w:p w:rsidR="002A2F2E" w:rsidRDefault="002A2F2E" w:rsidP="00A4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umin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Poppins">
    <w:panose1 w:val="000008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2E" w:rsidRDefault="002A2F2E" w:rsidP="00A42522">
      <w:r>
        <w:separator/>
      </w:r>
    </w:p>
  </w:footnote>
  <w:footnote w:type="continuationSeparator" w:id="0">
    <w:p w:rsidR="002A2F2E" w:rsidRDefault="002A2F2E" w:rsidP="00A4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22" w:rsidRDefault="00A425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4671710" wp14:editId="707F6183">
          <wp:simplePos x="0" y="0"/>
          <wp:positionH relativeFrom="column">
            <wp:posOffset>-676564</wp:posOffset>
          </wp:positionH>
          <wp:positionV relativeFrom="paragraph">
            <wp:posOffset>-457200</wp:posOffset>
          </wp:positionV>
          <wp:extent cx="7555242" cy="10691621"/>
          <wp:effectExtent l="0" t="0" r="127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-MHS-104 Brand Identity [Letterhead Policy] 2019-03-28-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42" cy="10691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8C0"/>
    <w:multiLevelType w:val="hybridMultilevel"/>
    <w:tmpl w:val="A2B6C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1078"/>
    <w:multiLevelType w:val="hybridMultilevel"/>
    <w:tmpl w:val="070807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583879"/>
    <w:multiLevelType w:val="hybridMultilevel"/>
    <w:tmpl w:val="94C8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00872"/>
    <w:multiLevelType w:val="hybridMultilevel"/>
    <w:tmpl w:val="816A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20D98"/>
    <w:multiLevelType w:val="hybridMultilevel"/>
    <w:tmpl w:val="73BE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01D80"/>
    <w:multiLevelType w:val="hybridMultilevel"/>
    <w:tmpl w:val="D9F2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15526"/>
    <w:multiLevelType w:val="hybridMultilevel"/>
    <w:tmpl w:val="9A3E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71CE8"/>
    <w:multiLevelType w:val="hybridMultilevel"/>
    <w:tmpl w:val="16D8BA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2E"/>
    <w:rsid w:val="00033EDE"/>
    <w:rsid w:val="000826EC"/>
    <w:rsid w:val="000834C0"/>
    <w:rsid w:val="001A0A19"/>
    <w:rsid w:val="00216EA1"/>
    <w:rsid w:val="002A2F2E"/>
    <w:rsid w:val="003D4EA4"/>
    <w:rsid w:val="00493D0E"/>
    <w:rsid w:val="00494A09"/>
    <w:rsid w:val="004F0A20"/>
    <w:rsid w:val="00526A6C"/>
    <w:rsid w:val="005C55F8"/>
    <w:rsid w:val="00631B76"/>
    <w:rsid w:val="006E4787"/>
    <w:rsid w:val="007E453C"/>
    <w:rsid w:val="008A0ED0"/>
    <w:rsid w:val="008E6C1D"/>
    <w:rsid w:val="008F63C6"/>
    <w:rsid w:val="009C0058"/>
    <w:rsid w:val="00A42522"/>
    <w:rsid w:val="00AC51CF"/>
    <w:rsid w:val="00B93B02"/>
    <w:rsid w:val="00C45038"/>
    <w:rsid w:val="00CB1B0A"/>
    <w:rsid w:val="00CE563E"/>
    <w:rsid w:val="00CE7D23"/>
    <w:rsid w:val="00D32D8E"/>
    <w:rsid w:val="00DB0363"/>
    <w:rsid w:val="00E01351"/>
    <w:rsid w:val="00E2423D"/>
    <w:rsid w:val="00E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E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5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2522"/>
  </w:style>
  <w:style w:type="paragraph" w:styleId="Footer">
    <w:name w:val="footer"/>
    <w:basedOn w:val="Normal"/>
    <w:link w:val="FooterChar"/>
    <w:uiPriority w:val="99"/>
    <w:unhideWhenUsed/>
    <w:rsid w:val="00A425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2522"/>
  </w:style>
  <w:style w:type="paragraph" w:styleId="BalloonText">
    <w:name w:val="Balloon Text"/>
    <w:basedOn w:val="Normal"/>
    <w:link w:val="BalloonTextChar"/>
    <w:uiPriority w:val="99"/>
    <w:semiHidden/>
    <w:unhideWhenUsed/>
    <w:rsid w:val="00A425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2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semiHidden/>
    <w:unhideWhenUsed/>
    <w:rsid w:val="000826E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0826E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C55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leGrid">
    <w:name w:val="Table Grid"/>
    <w:basedOn w:val="TableNormal"/>
    <w:uiPriority w:val="39"/>
    <w:rsid w:val="005C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E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5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2522"/>
  </w:style>
  <w:style w:type="paragraph" w:styleId="Footer">
    <w:name w:val="footer"/>
    <w:basedOn w:val="Normal"/>
    <w:link w:val="FooterChar"/>
    <w:uiPriority w:val="99"/>
    <w:unhideWhenUsed/>
    <w:rsid w:val="00A425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2522"/>
  </w:style>
  <w:style w:type="paragraph" w:styleId="BalloonText">
    <w:name w:val="Balloon Text"/>
    <w:basedOn w:val="Normal"/>
    <w:link w:val="BalloonTextChar"/>
    <w:uiPriority w:val="99"/>
    <w:semiHidden/>
    <w:unhideWhenUsed/>
    <w:rsid w:val="00A425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2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semiHidden/>
    <w:unhideWhenUsed/>
    <w:rsid w:val="000826E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0826E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C55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leGrid">
    <w:name w:val="Table Grid"/>
    <w:basedOn w:val="TableNormal"/>
    <w:uiPriority w:val="39"/>
    <w:rsid w:val="005C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ff\Admin\SLT\Stationery\Stationery%20-%20final\Fa-MHS-104%20Brand%20Identity%20%5bLetterhead%5d%202019-05-01-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CE20-44D9-41BB-9268-4645A65E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Fa-MHS-104 Brand Identity [Letterhead] 2019-05-01-6</Template>
  <TotalTime>3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Marney</dc:creator>
  <cp:lastModifiedBy>Victoria Michael</cp:lastModifiedBy>
  <cp:revision>5</cp:revision>
  <cp:lastPrinted>2020-02-04T07:03:00Z</cp:lastPrinted>
  <dcterms:created xsi:type="dcterms:W3CDTF">2020-02-03T07:15:00Z</dcterms:created>
  <dcterms:modified xsi:type="dcterms:W3CDTF">2020-02-06T11:52:00Z</dcterms:modified>
</cp:coreProperties>
</file>